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7E85" w14:textId="654A6A5B" w:rsidR="00E90E49" w:rsidRPr="00E60D26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E60D26">
        <w:rPr>
          <w:lang w:val="de-DE"/>
        </w:rPr>
        <w:t>3GPP TSG-RAN WG</w:t>
      </w:r>
      <w:r w:rsidR="00F20F5C" w:rsidRPr="00E60D26">
        <w:rPr>
          <w:lang w:val="de-DE"/>
        </w:rPr>
        <w:t>2</w:t>
      </w:r>
      <w:r w:rsidRPr="00E60D26">
        <w:rPr>
          <w:lang w:val="de-DE"/>
        </w:rPr>
        <w:t xml:space="preserve"> #</w:t>
      </w:r>
      <w:r w:rsidR="00F20F5C" w:rsidRPr="00E60D26">
        <w:rPr>
          <w:lang w:val="de-DE"/>
        </w:rPr>
        <w:t>1</w:t>
      </w:r>
      <w:r w:rsidR="00C268E6" w:rsidRPr="00E60D26">
        <w:rPr>
          <w:lang w:val="de-DE"/>
        </w:rPr>
        <w:t>1</w:t>
      </w:r>
      <w:r w:rsidR="00AB3AF9" w:rsidRPr="00E60D26">
        <w:rPr>
          <w:lang w:val="de-DE"/>
        </w:rPr>
        <w:t>9</w:t>
      </w:r>
      <w:r w:rsidR="00AC7932" w:rsidRPr="00E60D26">
        <w:rPr>
          <w:lang w:val="de-DE"/>
        </w:rPr>
        <w:t>e</w:t>
      </w:r>
      <w:r w:rsidRPr="00E60D26">
        <w:rPr>
          <w:lang w:val="de-DE"/>
        </w:rPr>
        <w:tab/>
      </w:r>
      <w:r w:rsidR="00672523" w:rsidRPr="00672523">
        <w:rPr>
          <w:sz w:val="32"/>
          <w:szCs w:val="32"/>
          <w:lang w:val="de-DE"/>
        </w:rPr>
        <w:t>R2-2208673</w:t>
      </w:r>
    </w:p>
    <w:p w14:paraId="752598DE" w14:textId="5110FCA2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AB3AF9">
        <w:t>2</w:t>
      </w:r>
      <w:r w:rsidR="00D9310F" w:rsidRPr="00D9310F">
        <w:t>-0</w:t>
      </w:r>
      <w:r w:rsidR="00AB3AF9">
        <w:t>8</w:t>
      </w:r>
      <w:r w:rsidR="00D9310F" w:rsidRPr="00D9310F">
        <w:t>-</w:t>
      </w:r>
      <w:r w:rsidR="00FA3AD7">
        <w:t>1</w:t>
      </w:r>
      <w:r w:rsidR="00AC7932">
        <w:t>7</w:t>
      </w:r>
      <w:r w:rsidR="005640C9">
        <w:t xml:space="preserve"> – 2021-0</w:t>
      </w:r>
      <w:r w:rsidR="00AB3AF9">
        <w:t>8</w:t>
      </w:r>
      <w:r w:rsidR="005640C9">
        <w:t>-</w:t>
      </w:r>
      <w:r w:rsidR="00FA3AD7">
        <w:t>2</w:t>
      </w:r>
      <w:r w:rsidR="00AC7932">
        <w:t>9</w:t>
      </w:r>
    </w:p>
    <w:p w14:paraId="3E6673B6" w14:textId="77777777" w:rsidR="00E90E49" w:rsidRPr="00CE0424" w:rsidRDefault="00E90E49" w:rsidP="00357380">
      <w:pPr>
        <w:pStyle w:val="3GPPHeader"/>
      </w:pPr>
    </w:p>
    <w:p w14:paraId="7B71D8B7" w14:textId="44649BA5" w:rsidR="00E90E49" w:rsidRPr="00AC7932" w:rsidRDefault="00E90E49" w:rsidP="00311702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793928">
        <w:rPr>
          <w:sz w:val="22"/>
          <w:szCs w:val="22"/>
          <w:lang w:val="en-US"/>
        </w:rPr>
        <w:t>8.6.3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71FEDEF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7932">
        <w:rPr>
          <w:sz w:val="22"/>
          <w:szCs w:val="22"/>
        </w:rPr>
        <w:t xml:space="preserve">R18 IoT NTN </w:t>
      </w:r>
      <w:r w:rsidR="00AB3AF9">
        <w:rPr>
          <w:sz w:val="22"/>
          <w:szCs w:val="22"/>
        </w:rPr>
        <w:t>Mobility enhancements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1FE979C" w14:textId="77777777" w:rsidR="00E90E49" w:rsidRPr="00CE0424" w:rsidRDefault="00E90E49" w:rsidP="00E90E49"/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76E670" w14:textId="446D8875" w:rsidR="00713192" w:rsidRDefault="00D956C3" w:rsidP="00B04151">
      <w:r>
        <w:rPr>
          <w:rFonts w:cs="Arial"/>
          <w:iCs/>
          <w:szCs w:val="36"/>
        </w:rPr>
        <w:t>The w</w:t>
      </w:r>
      <w:r w:rsidR="00FA3AD7">
        <w:t xml:space="preserve">ork item for </w:t>
      </w:r>
      <w:r w:rsidR="004E3FF1">
        <w:t xml:space="preserve">IoT </w:t>
      </w:r>
      <w:r w:rsidR="00FA3AD7">
        <w:t xml:space="preserve">NTN enhancements in Rel-18 [1] </w:t>
      </w:r>
      <w:r>
        <w:t xml:space="preserve">includes an objective on </w:t>
      </w:r>
      <w:r w:rsidR="009031D5">
        <w:t>mobility enhancements</w:t>
      </w:r>
      <w:r w:rsidR="005B5587">
        <w:t>:</w:t>
      </w:r>
    </w:p>
    <w:p w14:paraId="3CE7DC5B" w14:textId="77777777" w:rsidR="005B5587" w:rsidRDefault="005B5587" w:rsidP="00713192">
      <w:pPr>
        <w:spacing w:after="0"/>
        <w:rPr>
          <w:bCs/>
        </w:rPr>
      </w:pPr>
    </w:p>
    <w:p w14:paraId="590259F5" w14:textId="76B5F0E8" w:rsidR="00713192" w:rsidRDefault="00713192" w:rsidP="00C73135">
      <w:pPr>
        <w:spacing w:after="0"/>
        <w:ind w:left="567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4A41E64B" w14:textId="77777777" w:rsidR="00713192" w:rsidRDefault="00713192" w:rsidP="00C73135">
      <w:pPr>
        <w:spacing w:after="0"/>
        <w:ind w:left="567"/>
        <w:rPr>
          <w:bCs/>
        </w:rPr>
      </w:pPr>
    </w:p>
    <w:p w14:paraId="5D2CA05D" w14:textId="77777777" w:rsidR="00713192" w:rsidRPr="00756D29" w:rsidRDefault="00713192" w:rsidP="00C73135">
      <w:pPr>
        <w:ind w:left="567"/>
      </w:pPr>
      <w:r w:rsidRPr="00756D29">
        <w:t>The following mobility enhancements objectives are listed.</w:t>
      </w:r>
    </w:p>
    <w:p w14:paraId="1410F6D1" w14:textId="77777777" w:rsidR="00713192" w:rsidRPr="00756D29" w:rsidRDefault="00713192" w:rsidP="00C73135">
      <w:pPr>
        <w:pStyle w:val="B1"/>
        <w:ind w:left="1135"/>
      </w:pPr>
      <w:r>
        <w:t>-</w:t>
      </w:r>
      <w:r>
        <w:tab/>
      </w:r>
      <w:r w:rsidRPr="00756D29">
        <w:t>Support of neighbo</w:t>
      </w:r>
      <w:r>
        <w:t>u</w:t>
      </w:r>
      <w:r w:rsidRPr="00756D29">
        <w:t>r cell measurements and corresponding measurement triggering before RLF, using Rel</w:t>
      </w:r>
      <w:r w:rsidRPr="00756D29">
        <w:noBreakHyphen/>
        <w:t>17 (TN) NB-IoT, eMTC as a baseline. [RAN2]</w:t>
      </w:r>
    </w:p>
    <w:p w14:paraId="69D95A09" w14:textId="77777777" w:rsidR="00713192" w:rsidRDefault="00713192" w:rsidP="00C73135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5FE841" w14:textId="77777777" w:rsidR="00713192" w:rsidRPr="00756D29" w:rsidRDefault="00713192" w:rsidP="00C73135">
      <w:pPr>
        <w:pStyle w:val="B1"/>
        <w:numPr>
          <w:ilvl w:val="0"/>
          <w:numId w:val="25"/>
        </w:numPr>
        <w:spacing w:after="180"/>
        <w:ind w:left="1134" w:hanging="283"/>
        <w:jc w:val="left"/>
      </w:pPr>
      <w:r>
        <w:t>Define UE RRM core requirements for the above mobility enhancement features [RAN4].</w:t>
      </w:r>
    </w:p>
    <w:p w14:paraId="5BC2BE10" w14:textId="77777777" w:rsidR="00713192" w:rsidRDefault="00713192" w:rsidP="00B04151"/>
    <w:p w14:paraId="257C08D4" w14:textId="596CF4E9" w:rsidR="00477768" w:rsidRPr="00CE0424" w:rsidRDefault="00FA3AD7" w:rsidP="00B04151">
      <w:r>
        <w:t xml:space="preserve">In this paper we </w:t>
      </w:r>
      <w:r w:rsidR="00020890">
        <w:t xml:space="preserve">present our views on </w:t>
      </w:r>
      <w:r w:rsidR="00255421">
        <w:t>the first and second bullets</w:t>
      </w:r>
      <w:r>
        <w:t>.</w:t>
      </w:r>
    </w:p>
    <w:p w14:paraId="226B631E" w14:textId="510CD8D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2A35FA7" w14:textId="1B9D6036" w:rsidR="005D0DE7" w:rsidRDefault="005D0DE7" w:rsidP="005D0DE7">
      <w:pPr>
        <w:pStyle w:val="Heading2"/>
      </w:pPr>
      <w:r>
        <w:t>2.1</w:t>
      </w:r>
      <w:r>
        <w:tab/>
        <w:t>Neighbour cell measurements before RLF</w:t>
      </w:r>
    </w:p>
    <w:p w14:paraId="609979D5" w14:textId="515B12FB" w:rsidR="005D0DE7" w:rsidRDefault="005D0DE7" w:rsidP="005D0DE7">
      <w:pPr>
        <w:rPr>
          <w:rFonts w:cs="Arial"/>
        </w:rPr>
      </w:pPr>
      <w:r>
        <w:rPr>
          <w:rFonts w:cs="Arial"/>
        </w:rPr>
        <w:t>N</w:t>
      </w:r>
      <w:r w:rsidRPr="001101E3">
        <w:rPr>
          <w:rFonts w:cs="Arial"/>
        </w:rPr>
        <w:t>B-IoT does not support RRC_CONNECTED mode mobilit</w:t>
      </w:r>
      <w:r>
        <w:rPr>
          <w:rFonts w:cs="Arial"/>
        </w:rPr>
        <w:t xml:space="preserve">y, so </w:t>
      </w:r>
      <w:r w:rsidRPr="001101E3">
        <w:rPr>
          <w:rFonts w:cs="Arial"/>
        </w:rPr>
        <w:t>moving to another cell involves</w:t>
      </w:r>
      <w:r>
        <w:rPr>
          <w:rFonts w:cs="Arial"/>
        </w:rPr>
        <w:t xml:space="preserve"> a</w:t>
      </w:r>
      <w:r w:rsidRPr="001101E3">
        <w:rPr>
          <w:rFonts w:cs="Arial"/>
        </w:rPr>
        <w:t xml:space="preserve"> long service interruption as it requires to first declare RLF and then initiate the </w:t>
      </w:r>
      <w:r w:rsidRPr="00B1088F">
        <w:rPr>
          <w:rFonts w:cs="Arial"/>
          <w:i/>
          <w:iCs/>
        </w:rPr>
        <w:t>RRCConnectionReestablishment</w:t>
      </w:r>
      <w:r w:rsidRPr="001101E3">
        <w:rPr>
          <w:rFonts w:cs="Arial"/>
        </w:rPr>
        <w:t xml:space="preserve"> procedure.</w:t>
      </w:r>
      <w:r>
        <w:rPr>
          <w:rFonts w:cs="Arial"/>
        </w:rPr>
        <w:t xml:space="preserve"> In Release 17, an optimization to reduce this time and improve mobility was introduced: neighbour cell measurements in connected mode. The intention was to speed up the cell selection process so that a UE might </w:t>
      </w:r>
      <w:r w:rsidR="00A954ED">
        <w:rPr>
          <w:rFonts w:cs="Arial"/>
        </w:rPr>
        <w:t xml:space="preserve">be able to have </w:t>
      </w:r>
      <w:r>
        <w:rPr>
          <w:rFonts w:cs="Arial"/>
        </w:rPr>
        <w:t>identified a “suitable” cell by the time it declares RLF. This is beneficial to “mobile” UEs which are moving towards the cell border, so a power criterion, configurable by the network, was standardized to prevent stationary UEs</w:t>
      </w:r>
      <w:r w:rsidR="000B033F">
        <w:rPr>
          <w:rFonts w:cs="Arial"/>
        </w:rPr>
        <w:t xml:space="preserve"> from</w:t>
      </w:r>
      <w:r>
        <w:rPr>
          <w:rFonts w:cs="Arial"/>
        </w:rPr>
        <w:t xml:space="preserve"> trigger</w:t>
      </w:r>
      <w:r w:rsidR="000B033F">
        <w:rPr>
          <w:rFonts w:cs="Arial"/>
        </w:rPr>
        <w:t>ing</w:t>
      </w:r>
      <w:r>
        <w:rPr>
          <w:rFonts w:cs="Arial"/>
        </w:rPr>
        <w:t xml:space="preserve"> unnecessary connected mode measurements and waste power.</w:t>
      </w:r>
    </w:p>
    <w:p w14:paraId="480F1256" w14:textId="77777777" w:rsidR="00CC04E8" w:rsidRDefault="00CC04E8" w:rsidP="005D0DE7">
      <w:pPr>
        <w:rPr>
          <w:rFonts w:cs="Arial"/>
        </w:rPr>
      </w:pPr>
    </w:p>
    <w:p w14:paraId="2DED896F" w14:textId="293BABE8" w:rsidR="00CC04E8" w:rsidRDefault="00CC04E8" w:rsidP="00CC04E8">
      <w:pPr>
        <w:pStyle w:val="Observation"/>
      </w:pPr>
      <w:bookmarkStart w:id="1" w:name="_Toc111017778"/>
      <w:r>
        <w:t>NB-IoT UEs can trigger connected mode measurements upon fulfilment of a power criterion.</w:t>
      </w:r>
      <w:bookmarkEnd w:id="1"/>
    </w:p>
    <w:p w14:paraId="6865B8FD" w14:textId="77777777" w:rsidR="00CC04E8" w:rsidRDefault="00CC04E8" w:rsidP="00CC04E8"/>
    <w:p w14:paraId="411DD4F0" w14:textId="270B63BC" w:rsidR="0033281C" w:rsidRDefault="005D0DE7" w:rsidP="005D0DE7">
      <w:pPr>
        <w:rPr>
          <w:rFonts w:cs="Arial"/>
        </w:rPr>
      </w:pPr>
      <w:r>
        <w:rPr>
          <w:rFonts w:cs="Arial"/>
        </w:rPr>
        <w:t xml:space="preserve">This </w:t>
      </w:r>
      <w:r w:rsidR="00AB4CAA">
        <w:rPr>
          <w:rFonts w:cs="Arial"/>
        </w:rPr>
        <w:t>optimization</w:t>
      </w:r>
      <w:r>
        <w:rPr>
          <w:rFonts w:cs="Arial"/>
        </w:rPr>
        <w:t xml:space="preserve"> is based on the premise that</w:t>
      </w:r>
      <w:r w:rsidR="00AB4CAA">
        <w:rPr>
          <w:rFonts w:cs="Arial"/>
        </w:rPr>
        <w:t xml:space="preserve">, as the UE moves towards the cell border, there is a </w:t>
      </w:r>
      <w:r w:rsidR="00D73FD1">
        <w:rPr>
          <w:rFonts w:cs="Arial"/>
        </w:rPr>
        <w:t xml:space="preserve">clear difference </w:t>
      </w:r>
      <w:r w:rsidR="00AB4CAA">
        <w:rPr>
          <w:rFonts w:cs="Arial"/>
        </w:rPr>
        <w:t>in RSRP</w:t>
      </w:r>
      <w:r w:rsidR="0033281C">
        <w:rPr>
          <w:rFonts w:cs="Arial"/>
        </w:rPr>
        <w:t xml:space="preserve"> </w:t>
      </w:r>
      <w:r w:rsidR="007518D2">
        <w:rPr>
          <w:rFonts w:cs="Arial"/>
        </w:rPr>
        <w:t xml:space="preserve">compared to the cell </w:t>
      </w:r>
      <w:r w:rsidR="00B1088F">
        <w:rPr>
          <w:rFonts w:cs="Arial"/>
        </w:rPr>
        <w:t>centre</w:t>
      </w:r>
      <w:r w:rsidR="007518D2">
        <w:rPr>
          <w:rFonts w:cs="Arial"/>
        </w:rPr>
        <w:t xml:space="preserve"> </w:t>
      </w:r>
      <w:r w:rsidR="0033281C">
        <w:rPr>
          <w:rFonts w:cs="Arial"/>
        </w:rPr>
        <w:t>and was captured in the specification as follows:</w:t>
      </w:r>
    </w:p>
    <w:p w14:paraId="0BD94990" w14:textId="77777777" w:rsidR="0033281C" w:rsidRDefault="0033281C" w:rsidP="005D0DE7">
      <w:pPr>
        <w:rPr>
          <w:rFonts w:cs="Arial"/>
        </w:rPr>
      </w:pPr>
    </w:p>
    <w:p w14:paraId="79543BB1" w14:textId="77777777" w:rsidR="00E757A1" w:rsidRDefault="00E757A1" w:rsidP="00E757A1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--------- 36.331 ---------</w:t>
      </w:r>
    </w:p>
    <w:p w14:paraId="37B72CC6" w14:textId="77777777" w:rsidR="004C596A" w:rsidRDefault="004C596A" w:rsidP="00E757A1">
      <w:pPr>
        <w:jc w:val="center"/>
        <w:rPr>
          <w:rFonts w:cs="Arial"/>
        </w:rPr>
      </w:pPr>
    </w:p>
    <w:p w14:paraId="5D9B0913" w14:textId="77777777" w:rsidR="004C596A" w:rsidRPr="004C596A" w:rsidRDefault="004C596A" w:rsidP="004C596A">
      <w:pPr>
        <w:ind w:left="568" w:hanging="284"/>
      </w:pPr>
      <w:r w:rsidRPr="004C596A">
        <w:rPr>
          <w:noProof/>
        </w:rPr>
        <w:t>1&gt;</w:t>
      </w:r>
      <w:r w:rsidRPr="004C596A">
        <w:rPr>
          <w:noProof/>
        </w:rPr>
        <w:tab/>
      </w:r>
      <w:r w:rsidRPr="004C596A">
        <w:t xml:space="preserve">if </w:t>
      </w:r>
      <w:r w:rsidRPr="004C596A">
        <w:rPr>
          <w:i/>
          <w:iCs/>
        </w:rPr>
        <w:t>neighCellMeasCriteria</w:t>
      </w:r>
      <w:r w:rsidRPr="004C596A">
        <w:t xml:space="preserve"> is not present in </w:t>
      </w:r>
      <w:r w:rsidRPr="004C596A">
        <w:rPr>
          <w:i/>
        </w:rPr>
        <w:t>SystemInformationBlockType3-NB</w:t>
      </w:r>
      <w:r w:rsidRPr="004C596A">
        <w:t>; or</w:t>
      </w:r>
    </w:p>
    <w:p w14:paraId="1FB7FA37" w14:textId="77777777" w:rsidR="004C596A" w:rsidRPr="004C596A" w:rsidRDefault="004C596A" w:rsidP="004C596A">
      <w:pPr>
        <w:ind w:left="568" w:hanging="284"/>
      </w:pPr>
      <w:r w:rsidRPr="004C596A">
        <w:t>1&gt;</w:t>
      </w:r>
      <w:r w:rsidRPr="004C596A">
        <w:tab/>
        <w:t>if T326 is running:</w:t>
      </w:r>
    </w:p>
    <w:p w14:paraId="7006E16D" w14:textId="77777777" w:rsidR="004C596A" w:rsidRPr="004C596A" w:rsidRDefault="004C596A" w:rsidP="004C596A">
      <w:pPr>
        <w:ind w:left="851" w:hanging="284"/>
      </w:pPr>
      <w:r w:rsidRPr="004C596A">
        <w:t>2&gt;</w:t>
      </w:r>
      <w:r w:rsidRPr="004C596A">
        <w:tab/>
        <w:t xml:space="preserve">if (NRSRP – </w:t>
      </w:r>
      <w:r w:rsidRPr="004C596A">
        <w:rPr>
          <w:i/>
          <w:iCs/>
          <w:noProof/>
        </w:rPr>
        <w:t>nrs-PowerOffsetNonAnchor</w:t>
      </w:r>
      <w:r w:rsidRPr="004C596A">
        <w:t xml:space="preserve">) &lt; </w:t>
      </w:r>
      <w:r w:rsidRPr="004C596A">
        <w:rPr>
          <w:i/>
          <w:iCs/>
        </w:rPr>
        <w:t>s-MeasureIntra</w:t>
      </w:r>
      <w:r w:rsidRPr="004C596A">
        <w:t>, perform intra-frequency measurements as defined in TS 36.133 [16];</w:t>
      </w:r>
    </w:p>
    <w:p w14:paraId="5302FD72" w14:textId="77777777" w:rsidR="004C596A" w:rsidRPr="004C596A" w:rsidRDefault="004C596A" w:rsidP="004C596A">
      <w:pPr>
        <w:ind w:left="851" w:hanging="284"/>
      </w:pPr>
      <w:r w:rsidRPr="004C596A">
        <w:t>2&gt;</w:t>
      </w:r>
      <w:r w:rsidRPr="004C596A">
        <w:tab/>
        <w:t xml:space="preserve">if (NRSRP – </w:t>
      </w:r>
      <w:r w:rsidRPr="004C596A">
        <w:rPr>
          <w:i/>
          <w:iCs/>
          <w:noProof/>
        </w:rPr>
        <w:t>nrs-PowerOffsetNonAnchor</w:t>
      </w:r>
      <w:r w:rsidRPr="004C596A">
        <w:t xml:space="preserve">) &lt; </w:t>
      </w:r>
      <w:r w:rsidRPr="004C596A">
        <w:rPr>
          <w:i/>
        </w:rPr>
        <w:t>s</w:t>
      </w:r>
      <w:r w:rsidRPr="004C596A">
        <w:rPr>
          <w:i/>
          <w:iCs/>
        </w:rPr>
        <w:t>-MeasureInter</w:t>
      </w:r>
      <w:r w:rsidRPr="004C596A">
        <w:t>, perform inter-frequency measurements as defined in TS 36.133 [16].</w:t>
      </w:r>
    </w:p>
    <w:p w14:paraId="7767CD14" w14:textId="77777777" w:rsidR="00E757A1" w:rsidRDefault="00E757A1" w:rsidP="00E757A1">
      <w:pPr>
        <w:pStyle w:val="BodyText"/>
        <w:jc w:val="center"/>
        <w:rPr>
          <w:color w:val="000000" w:themeColor="text1"/>
        </w:rPr>
      </w:pPr>
    </w:p>
    <w:p w14:paraId="0F4504D0" w14:textId="7A3FA9F3" w:rsidR="00E757A1" w:rsidRDefault="00E757A1" w:rsidP="00E757A1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--------- 36.331 ---------</w:t>
      </w:r>
    </w:p>
    <w:p w14:paraId="16E963BF" w14:textId="77777777" w:rsidR="004C596A" w:rsidRDefault="004C596A" w:rsidP="005D0DE7">
      <w:pPr>
        <w:rPr>
          <w:rFonts w:cs="Arial"/>
        </w:rPr>
      </w:pPr>
    </w:p>
    <w:p w14:paraId="431FD954" w14:textId="1AC8DA10" w:rsidR="00DA6763" w:rsidRDefault="00011BA0" w:rsidP="001D7774">
      <w:pPr>
        <w:rPr>
          <w:rFonts w:cs="Arial"/>
        </w:rPr>
      </w:pPr>
      <w:r>
        <w:rPr>
          <w:rFonts w:cs="Arial"/>
        </w:rPr>
        <w:t xml:space="preserve">However, </w:t>
      </w:r>
      <w:r w:rsidR="007518D2">
        <w:rPr>
          <w:rFonts w:cs="Arial"/>
        </w:rPr>
        <w:t>as described in [</w:t>
      </w:r>
      <w:r w:rsidR="007D50E7">
        <w:rPr>
          <w:rFonts w:cs="Arial"/>
        </w:rPr>
        <w:t>2</w:t>
      </w:r>
      <w:r w:rsidR="007518D2">
        <w:rPr>
          <w:rFonts w:cs="Arial"/>
        </w:rPr>
        <w:t>], s</w:t>
      </w:r>
      <w:r w:rsidR="007518D2" w:rsidRPr="00150C53">
        <w:rPr>
          <w:rFonts w:cs="Arial"/>
        </w:rPr>
        <w:t xml:space="preserve">uch an effect may not be as pronounced in </w:t>
      </w:r>
      <w:r w:rsidR="007518D2">
        <w:rPr>
          <w:rFonts w:cs="Arial"/>
        </w:rPr>
        <w:t>NTN cells</w:t>
      </w:r>
      <w:r w:rsidR="007518D2" w:rsidRPr="00150C53">
        <w:rPr>
          <w:rFonts w:cs="Arial"/>
        </w:rPr>
        <w:t>, resulting in a small difference in signal strength between two beams in a region of overlap</w:t>
      </w:r>
      <w:r w:rsidR="004414D8">
        <w:rPr>
          <w:rFonts w:cs="Arial"/>
        </w:rPr>
        <w:t>. The smaller margins would impose tighter power thresholds (</w:t>
      </w:r>
      <w:r w:rsidR="004414D8" w:rsidRPr="004414D8">
        <w:rPr>
          <w:rFonts w:cs="Arial"/>
          <w:i/>
          <w:iCs/>
        </w:rPr>
        <w:t>s-</w:t>
      </w:r>
      <w:r w:rsidR="007D4ED1">
        <w:rPr>
          <w:rFonts w:cs="Arial"/>
          <w:i/>
          <w:iCs/>
        </w:rPr>
        <w:t>Measure</w:t>
      </w:r>
      <w:r w:rsidR="004414D8" w:rsidRPr="004414D8">
        <w:rPr>
          <w:rFonts w:cs="Arial"/>
          <w:i/>
          <w:iCs/>
        </w:rPr>
        <w:t>DeltaP</w:t>
      </w:r>
      <w:r w:rsidR="004414D8">
        <w:rPr>
          <w:rFonts w:cs="Arial"/>
        </w:rPr>
        <w:t xml:space="preserve">, </w:t>
      </w:r>
      <w:r w:rsidR="004414D8" w:rsidRPr="004414D8">
        <w:rPr>
          <w:rFonts w:cs="Arial"/>
          <w:i/>
          <w:iCs/>
        </w:rPr>
        <w:t>s-MeasureIntra</w:t>
      </w:r>
      <w:r w:rsidR="004414D8">
        <w:rPr>
          <w:rFonts w:cs="Arial"/>
        </w:rPr>
        <w:t xml:space="preserve"> and </w:t>
      </w:r>
      <w:r w:rsidR="004414D8" w:rsidRPr="004414D8">
        <w:rPr>
          <w:rFonts w:cs="Arial"/>
          <w:i/>
          <w:iCs/>
        </w:rPr>
        <w:t>s-MeasureInter</w:t>
      </w:r>
      <w:r w:rsidR="004414D8">
        <w:rPr>
          <w:rFonts w:cs="Arial"/>
        </w:rPr>
        <w:t xml:space="preserve">) </w:t>
      </w:r>
      <w:r w:rsidR="00C554A7">
        <w:rPr>
          <w:rFonts w:cs="Arial"/>
        </w:rPr>
        <w:t xml:space="preserve">that could lead to errors in the differentiation between mobile and stationary UEs, </w:t>
      </w:r>
      <w:r w:rsidR="001D3D94">
        <w:rPr>
          <w:rFonts w:cs="Arial"/>
        </w:rPr>
        <w:t>i.e.,</w:t>
      </w:r>
      <w:r w:rsidR="00C554A7">
        <w:rPr>
          <w:rFonts w:cs="Arial"/>
        </w:rPr>
        <w:t xml:space="preserve"> </w:t>
      </w:r>
      <w:r w:rsidR="001D3D94">
        <w:rPr>
          <w:rFonts w:cs="Arial"/>
        </w:rPr>
        <w:t xml:space="preserve">small </w:t>
      </w:r>
      <w:r w:rsidR="00C554A7">
        <w:rPr>
          <w:rFonts w:cs="Arial"/>
        </w:rPr>
        <w:t>power fluctuations</w:t>
      </w:r>
      <w:r w:rsidR="005075E5">
        <w:rPr>
          <w:rFonts w:cs="Arial"/>
        </w:rPr>
        <w:t xml:space="preserve"> </w:t>
      </w:r>
      <w:r w:rsidR="00C554A7">
        <w:rPr>
          <w:rFonts w:cs="Arial"/>
        </w:rPr>
        <w:t>could be interpreted as a UE moving.</w:t>
      </w:r>
      <w:r w:rsidR="00637C14">
        <w:rPr>
          <w:rFonts w:cs="Arial"/>
        </w:rPr>
        <w:t xml:space="preserve"> Thus, </w:t>
      </w:r>
      <w:r w:rsidR="005C6284">
        <w:rPr>
          <w:rFonts w:cs="Arial"/>
        </w:rPr>
        <w:t xml:space="preserve">the criterion above </w:t>
      </w:r>
      <w:r w:rsidR="00637C14">
        <w:rPr>
          <w:rFonts w:cs="Arial"/>
        </w:rPr>
        <w:t xml:space="preserve">is </w:t>
      </w:r>
      <w:r w:rsidR="00273C9E">
        <w:rPr>
          <w:rFonts w:cs="Arial"/>
        </w:rPr>
        <w:t>not sufficient</w:t>
      </w:r>
      <w:r w:rsidR="00637C14">
        <w:rPr>
          <w:rFonts w:cs="Arial"/>
        </w:rPr>
        <w:t xml:space="preserve"> in NTN and can be complemented </w:t>
      </w:r>
      <w:r w:rsidR="00B1088F">
        <w:rPr>
          <w:rFonts w:cs="Arial"/>
        </w:rPr>
        <w:t>with</w:t>
      </w:r>
      <w:r w:rsidR="00637C14">
        <w:rPr>
          <w:rFonts w:cs="Arial"/>
        </w:rPr>
        <w:t xml:space="preserve"> </w:t>
      </w:r>
      <w:r w:rsidR="00DA6763">
        <w:rPr>
          <w:rFonts w:cs="Arial"/>
        </w:rPr>
        <w:t xml:space="preserve">information specific to </w:t>
      </w:r>
      <w:r w:rsidR="00637C14">
        <w:rPr>
          <w:rFonts w:cs="Arial"/>
        </w:rPr>
        <w:t>this kind of deployment.</w:t>
      </w:r>
    </w:p>
    <w:p w14:paraId="58680325" w14:textId="77777777" w:rsidR="00DA6763" w:rsidRDefault="00DA6763" w:rsidP="005D0DE7">
      <w:pPr>
        <w:rPr>
          <w:rFonts w:cs="Arial"/>
        </w:rPr>
      </w:pPr>
    </w:p>
    <w:p w14:paraId="1BB9F26F" w14:textId="5B417CE0" w:rsidR="00DA6763" w:rsidRDefault="00DA6763" w:rsidP="00622C42">
      <w:pPr>
        <w:pStyle w:val="Observation"/>
      </w:pPr>
      <w:bookmarkStart w:id="2" w:name="_Toc111017779"/>
      <w:r>
        <w:t xml:space="preserve">The power criterion alone might </w:t>
      </w:r>
      <w:r w:rsidR="00622C42">
        <w:t xml:space="preserve">not be sufficient </w:t>
      </w:r>
      <w:r>
        <w:t>for NTN</w:t>
      </w:r>
      <w:r w:rsidR="00622C42">
        <w:t>.</w:t>
      </w:r>
      <w:bookmarkEnd w:id="2"/>
    </w:p>
    <w:p w14:paraId="6EAF3861" w14:textId="77777777" w:rsidR="00DA6763" w:rsidRDefault="00DA6763" w:rsidP="005D0DE7">
      <w:pPr>
        <w:rPr>
          <w:rFonts w:cs="Arial"/>
        </w:rPr>
      </w:pPr>
    </w:p>
    <w:p w14:paraId="12AFEB5D" w14:textId="22F24A1D" w:rsidR="005D0DE7" w:rsidRDefault="00011A0B" w:rsidP="005D0DE7">
      <w:pPr>
        <w:rPr>
          <w:rFonts w:cs="Arial"/>
        </w:rPr>
      </w:pPr>
      <w:r>
        <w:rPr>
          <w:rFonts w:cs="Arial"/>
        </w:rPr>
        <w:t xml:space="preserve">In NTN, the UE may know </w:t>
      </w:r>
      <w:r w:rsidR="005566C2">
        <w:rPr>
          <w:rFonts w:cs="Arial"/>
        </w:rPr>
        <w:t xml:space="preserve">the characteristics of the </w:t>
      </w:r>
      <w:r w:rsidR="005D0DE7">
        <w:rPr>
          <w:rFonts w:cs="Arial"/>
        </w:rPr>
        <w:t xml:space="preserve">cell </w:t>
      </w:r>
      <w:r w:rsidR="00182FB2">
        <w:rPr>
          <w:rFonts w:cs="Arial"/>
        </w:rPr>
        <w:t xml:space="preserve">it </w:t>
      </w:r>
      <w:r w:rsidR="005566C2">
        <w:rPr>
          <w:rFonts w:cs="Arial"/>
        </w:rPr>
        <w:t xml:space="preserve">is connected to, </w:t>
      </w:r>
      <w:r w:rsidR="00F56C1E">
        <w:rPr>
          <w:rFonts w:cs="Arial"/>
        </w:rPr>
        <w:t>e.g., stop serving time,</w:t>
      </w:r>
      <w:r w:rsidR="005566C2">
        <w:rPr>
          <w:rFonts w:cs="Arial"/>
        </w:rPr>
        <w:t xml:space="preserve"> cell reference location, cell radius</w:t>
      </w:r>
      <w:r w:rsidR="00E0218D">
        <w:rPr>
          <w:rFonts w:cs="Arial"/>
        </w:rPr>
        <w:t xml:space="preserve"> or satellite ephemeris</w:t>
      </w:r>
      <w:r w:rsidR="005566C2">
        <w:rPr>
          <w:rFonts w:cs="Arial"/>
        </w:rPr>
        <w:t xml:space="preserve">. </w:t>
      </w:r>
      <w:r w:rsidR="00344EAA">
        <w:rPr>
          <w:rFonts w:cs="Arial"/>
        </w:rPr>
        <w:t>In addition to the power criterion, t</w:t>
      </w:r>
      <w:r w:rsidR="008E0E49">
        <w:rPr>
          <w:rFonts w:cs="Arial"/>
        </w:rPr>
        <w:t>his knowledge</w:t>
      </w:r>
      <w:r w:rsidR="00A55D31">
        <w:rPr>
          <w:rFonts w:cs="Arial"/>
        </w:rPr>
        <w:t xml:space="preserve"> together with configurable distance or/and time thresholds</w:t>
      </w:r>
      <w:r w:rsidR="008E0E49">
        <w:rPr>
          <w:rFonts w:cs="Arial"/>
        </w:rPr>
        <w:t xml:space="preserve"> can be leveraged to assist in the differentiation between mobile and stationary UEs to trigger connected mode measurements.</w:t>
      </w:r>
    </w:p>
    <w:p w14:paraId="2ABBCFA7" w14:textId="77777777" w:rsidR="0017585D" w:rsidRDefault="0017585D" w:rsidP="005D0DE7">
      <w:pPr>
        <w:rPr>
          <w:rFonts w:cs="Arial"/>
          <w:lang w:val="en-US"/>
        </w:rPr>
      </w:pPr>
    </w:p>
    <w:p w14:paraId="3ED19A86" w14:textId="3ED52666" w:rsidR="0017585D" w:rsidRDefault="0017585D" w:rsidP="0017585D">
      <w:pPr>
        <w:pStyle w:val="Proposal"/>
      </w:pPr>
      <w:bookmarkStart w:id="3" w:name="_Toc111017783"/>
      <w:r>
        <w:t xml:space="preserve">The existing criteria combined with a distance </w:t>
      </w:r>
      <w:r w:rsidR="00182FB2">
        <w:t>and/</w:t>
      </w:r>
      <w:r w:rsidR="00301898">
        <w:t xml:space="preserve">or time </w:t>
      </w:r>
      <w:r>
        <w:t xml:space="preserve">threshold can be </w:t>
      </w:r>
      <w:r w:rsidR="00301898">
        <w:t>used</w:t>
      </w:r>
      <w:r>
        <w:t xml:space="preserve"> to improve </w:t>
      </w:r>
      <w:r w:rsidR="00A05B40">
        <w:t xml:space="preserve">service interruption in </w:t>
      </w:r>
      <w:r>
        <w:t>NB-IoT mobility.</w:t>
      </w:r>
      <w:bookmarkEnd w:id="3"/>
    </w:p>
    <w:p w14:paraId="01E519A5" w14:textId="77777777" w:rsidR="005D0DE7" w:rsidRDefault="005D0DE7" w:rsidP="005D0DE7">
      <w:pPr>
        <w:rPr>
          <w:rFonts w:cs="Arial"/>
          <w:lang w:val="en-US"/>
        </w:rPr>
      </w:pPr>
    </w:p>
    <w:p w14:paraId="752DB1AC" w14:textId="4728AE98" w:rsidR="009C09BE" w:rsidRDefault="00981938" w:rsidP="005D0DE7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To some extent, </w:t>
      </w:r>
      <w:r w:rsidR="00240059">
        <w:rPr>
          <w:rFonts w:cs="Arial"/>
          <w:lang w:val="en-US"/>
        </w:rPr>
        <w:t>the use of this information</w:t>
      </w:r>
      <w:r w:rsidR="0029710A">
        <w:rPr>
          <w:rFonts w:cs="Arial"/>
          <w:lang w:val="en-US"/>
        </w:rPr>
        <w:t xml:space="preserve"> (</w:t>
      </w:r>
      <w:r w:rsidR="000D224B">
        <w:rPr>
          <w:rFonts w:cs="Arial"/>
          <w:lang w:val="en-US"/>
        </w:rPr>
        <w:t>e.g.,</w:t>
      </w:r>
      <w:r w:rsidR="0029710A">
        <w:rPr>
          <w:rFonts w:cs="Arial"/>
          <w:lang w:val="en-US"/>
        </w:rPr>
        <w:t xml:space="preserve"> cell reference location, </w:t>
      </w:r>
      <w:r w:rsidR="000D224B">
        <w:rPr>
          <w:rFonts w:cs="Arial"/>
          <w:lang w:val="en-US"/>
        </w:rPr>
        <w:t>distance threshold, etc.)</w:t>
      </w:r>
      <w:r w:rsidR="00240059">
        <w:rPr>
          <w:rFonts w:cs="Arial"/>
          <w:lang w:val="en-US"/>
        </w:rPr>
        <w:t xml:space="preserve"> has been already considered in the</w:t>
      </w:r>
      <w:r>
        <w:rPr>
          <w:rFonts w:cs="Arial"/>
          <w:lang w:val="en-US"/>
        </w:rPr>
        <w:t xml:space="preserve"> solutions created to deal with discontinuous coverage (SIB32-NB) and location-based cell reselection in NR NTN (SIB3). </w:t>
      </w:r>
      <w:r w:rsidR="00D34CEE">
        <w:rPr>
          <w:rFonts w:cs="Arial"/>
          <w:lang w:val="en-US"/>
        </w:rPr>
        <w:t xml:space="preserve">However, </w:t>
      </w:r>
      <w:r w:rsidR="009C09BE">
        <w:rPr>
          <w:rFonts w:cs="Arial"/>
          <w:lang w:val="en-US"/>
        </w:rPr>
        <w:t xml:space="preserve">SIB31 </w:t>
      </w:r>
      <w:r w:rsidR="007B79AF">
        <w:rPr>
          <w:rFonts w:cs="Arial"/>
          <w:lang w:val="en-US"/>
        </w:rPr>
        <w:t>does not provide information about the cell’s footprint</w:t>
      </w:r>
      <w:r w:rsidR="00D34CEE">
        <w:rPr>
          <w:rFonts w:cs="Arial"/>
          <w:lang w:val="en-US"/>
        </w:rPr>
        <w:t xml:space="preserve"> and, thus, </w:t>
      </w:r>
      <w:r w:rsidR="0097110B">
        <w:rPr>
          <w:rFonts w:cs="Arial"/>
          <w:lang w:val="en-US"/>
        </w:rPr>
        <w:t xml:space="preserve">it </w:t>
      </w:r>
      <w:r w:rsidR="009C09BE">
        <w:rPr>
          <w:rFonts w:cs="Arial"/>
          <w:lang w:val="en-US"/>
        </w:rPr>
        <w:t>is insufficient for the purpose of measurements in connected mode</w:t>
      </w:r>
      <w:r w:rsidR="00D34CEE">
        <w:rPr>
          <w:rFonts w:cs="Arial"/>
          <w:lang w:val="en-US"/>
        </w:rPr>
        <w:t xml:space="preserve">. Therefore, </w:t>
      </w:r>
      <w:r w:rsidR="00190569">
        <w:rPr>
          <w:rFonts w:cs="Arial"/>
          <w:lang w:val="en-US"/>
        </w:rPr>
        <w:t xml:space="preserve">RAN2 should consider </w:t>
      </w:r>
      <w:r w:rsidR="00911397">
        <w:rPr>
          <w:rFonts w:cs="Arial"/>
          <w:lang w:val="en-US"/>
        </w:rPr>
        <w:t>transmitting</w:t>
      </w:r>
      <w:r w:rsidR="00F03CB0">
        <w:rPr>
          <w:rFonts w:cs="Arial"/>
          <w:lang w:val="en-US"/>
        </w:rPr>
        <w:t xml:space="preserve"> the serving cell’s footprint information </w:t>
      </w:r>
      <w:r w:rsidR="00190569">
        <w:rPr>
          <w:rFonts w:cs="Arial"/>
          <w:lang w:val="en-US"/>
        </w:rPr>
        <w:t xml:space="preserve">either </w:t>
      </w:r>
      <w:r w:rsidR="00F03CB0">
        <w:rPr>
          <w:rFonts w:cs="Arial"/>
          <w:lang w:val="en-US"/>
        </w:rPr>
        <w:t xml:space="preserve">by </w:t>
      </w:r>
      <w:r w:rsidR="00190569">
        <w:rPr>
          <w:rFonts w:cs="Arial"/>
          <w:lang w:val="en-US"/>
        </w:rPr>
        <w:t>introduc</w:t>
      </w:r>
      <w:r w:rsidR="00F03CB0">
        <w:rPr>
          <w:rFonts w:cs="Arial"/>
          <w:lang w:val="en-US"/>
        </w:rPr>
        <w:t>ing</w:t>
      </w:r>
      <w:r w:rsidR="00190569">
        <w:rPr>
          <w:rFonts w:cs="Arial"/>
          <w:lang w:val="en-US"/>
        </w:rPr>
        <w:t xml:space="preserve"> a new SIB or extend</w:t>
      </w:r>
      <w:r w:rsidR="00F03CB0">
        <w:rPr>
          <w:rFonts w:cs="Arial"/>
          <w:lang w:val="en-US"/>
        </w:rPr>
        <w:t>ing</w:t>
      </w:r>
      <w:r w:rsidR="00190569">
        <w:rPr>
          <w:rFonts w:cs="Arial"/>
          <w:lang w:val="en-US"/>
        </w:rPr>
        <w:t xml:space="preserve"> an existing one such as SIB3-NB.</w:t>
      </w:r>
    </w:p>
    <w:p w14:paraId="52B0EAEB" w14:textId="77777777" w:rsidR="009C09BE" w:rsidRDefault="009C09BE" w:rsidP="005D0DE7">
      <w:pPr>
        <w:rPr>
          <w:rFonts w:cs="Arial"/>
          <w:lang w:val="en-US"/>
        </w:rPr>
      </w:pPr>
    </w:p>
    <w:p w14:paraId="1AB1B7C2" w14:textId="633AF202" w:rsidR="00E57661" w:rsidRDefault="00E57661" w:rsidP="00E57661">
      <w:pPr>
        <w:pStyle w:val="Proposal"/>
      </w:pPr>
      <w:bookmarkStart w:id="4" w:name="_Toc111017784"/>
      <w:r>
        <w:t xml:space="preserve">Cell footprint information is broadcast in a new or existing SIB to assist </w:t>
      </w:r>
      <w:r w:rsidR="0017585D">
        <w:t>measurements in connected mode.</w:t>
      </w:r>
      <w:bookmarkEnd w:id="4"/>
    </w:p>
    <w:p w14:paraId="21CFEEBC" w14:textId="77777777" w:rsidR="005D0DE7" w:rsidRDefault="005D0DE7" w:rsidP="005D0DE7"/>
    <w:p w14:paraId="7EB49F7F" w14:textId="77EAA927" w:rsidR="0017585D" w:rsidRDefault="0017585D" w:rsidP="00BA459A">
      <w:pPr>
        <w:pStyle w:val="Heading2"/>
      </w:pPr>
      <w:r>
        <w:t>2.2</w:t>
      </w:r>
      <w:r>
        <w:tab/>
        <w:t>Conditional Handover</w:t>
      </w:r>
    </w:p>
    <w:p w14:paraId="2EE7BCC2" w14:textId="5A3742D4" w:rsidR="007C0E0D" w:rsidRDefault="007C0E0D" w:rsidP="00811636">
      <w:r>
        <w:t xml:space="preserve">Conditional Handover (CHO) </w:t>
      </w:r>
      <w:r w:rsidR="002B7240">
        <w:t xml:space="preserve">has been introduced in Rel-16 </w:t>
      </w:r>
      <w:r w:rsidR="001219B7">
        <w:t xml:space="preserve">for terrestrial networks. </w:t>
      </w:r>
      <w:r w:rsidR="0057738D">
        <w:t xml:space="preserve">Specification has happened </w:t>
      </w:r>
      <w:r w:rsidR="002B7240">
        <w:t>in parallel for LTE and 5G NR.</w:t>
      </w:r>
    </w:p>
    <w:p w14:paraId="509A6582" w14:textId="77777777" w:rsidR="00811636" w:rsidRDefault="00811636" w:rsidP="00811636"/>
    <w:p w14:paraId="05593B7D" w14:textId="26C6C4E7" w:rsidR="00F5420A" w:rsidRDefault="0057738D" w:rsidP="0057738D">
      <w:pPr>
        <w:pStyle w:val="Observation"/>
      </w:pPr>
      <w:bookmarkStart w:id="5" w:name="_Toc111017780"/>
      <w:r>
        <w:t>CHO has been introduced in Rel-16 in parallel for LTE and 5G NR.</w:t>
      </w:r>
      <w:bookmarkEnd w:id="5"/>
    </w:p>
    <w:p w14:paraId="316E5AB5" w14:textId="77777777" w:rsidR="00811636" w:rsidRDefault="00811636" w:rsidP="00811636"/>
    <w:p w14:paraId="7AE8F0CB" w14:textId="538DF119" w:rsidR="00A254FE" w:rsidRDefault="00D62417" w:rsidP="00811636">
      <w:r>
        <w:t xml:space="preserve">In Rel-17 NR NTN, </w:t>
      </w:r>
      <w:r w:rsidR="007C0E0D">
        <w:t>C</w:t>
      </w:r>
      <w:r>
        <w:t xml:space="preserve">HO was enhanced with </w:t>
      </w:r>
      <w:r w:rsidR="004F6DFB">
        <w:t xml:space="preserve">location-based and </w:t>
      </w:r>
      <w:r w:rsidR="00C72D31">
        <w:t>time-based</w:t>
      </w:r>
      <w:r w:rsidR="00643EE2">
        <w:t xml:space="preserve"> trigger conditions. </w:t>
      </w:r>
    </w:p>
    <w:p w14:paraId="1305CA83" w14:textId="0DB48FFB" w:rsidR="00F57255" w:rsidRPr="00157824" w:rsidRDefault="005F2274" w:rsidP="00157824">
      <w:pPr>
        <w:pStyle w:val="ListParagraph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157824">
        <w:rPr>
          <w:rFonts w:ascii="Times New Roman" w:hAnsi="Times New Roman"/>
          <w:sz w:val="20"/>
          <w:szCs w:val="20"/>
        </w:rPr>
        <w:t>The location</w:t>
      </w:r>
      <w:r w:rsidR="00B54DD0" w:rsidRPr="00157824">
        <w:rPr>
          <w:rFonts w:ascii="Times New Roman" w:hAnsi="Times New Roman"/>
          <w:sz w:val="20"/>
          <w:szCs w:val="20"/>
        </w:rPr>
        <w:t>-</w:t>
      </w:r>
      <w:r w:rsidRPr="00157824">
        <w:rPr>
          <w:rFonts w:ascii="Times New Roman" w:hAnsi="Times New Roman"/>
          <w:sz w:val="20"/>
          <w:szCs w:val="20"/>
        </w:rPr>
        <w:t xml:space="preserve">based trigger </w:t>
      </w:r>
      <w:r w:rsidR="00665402" w:rsidRPr="00157824">
        <w:rPr>
          <w:rFonts w:ascii="Times New Roman" w:hAnsi="Times New Roman"/>
          <w:sz w:val="20"/>
          <w:szCs w:val="20"/>
        </w:rPr>
        <w:t xml:space="preserve">is based on </w:t>
      </w:r>
      <w:r w:rsidRPr="00157824">
        <w:rPr>
          <w:rFonts w:ascii="Times New Roman" w:hAnsi="Times New Roman"/>
          <w:sz w:val="20"/>
          <w:szCs w:val="20"/>
        </w:rPr>
        <w:t xml:space="preserve">a new RRM event D1, which </w:t>
      </w:r>
      <w:r w:rsidR="00665402" w:rsidRPr="00157824">
        <w:rPr>
          <w:rFonts w:ascii="Times New Roman" w:hAnsi="Times New Roman"/>
          <w:sz w:val="20"/>
          <w:szCs w:val="20"/>
        </w:rPr>
        <w:t>uses two pairs of reference location and threshold</w:t>
      </w:r>
      <w:r w:rsidR="007031BE" w:rsidRPr="00157824">
        <w:rPr>
          <w:rFonts w:ascii="Times New Roman" w:hAnsi="Times New Roman"/>
          <w:sz w:val="20"/>
          <w:szCs w:val="20"/>
        </w:rPr>
        <w:t xml:space="preserve">. The </w:t>
      </w:r>
      <w:r w:rsidR="00D647F1" w:rsidRPr="00157824">
        <w:rPr>
          <w:rFonts w:ascii="Times New Roman" w:hAnsi="Times New Roman"/>
          <w:sz w:val="20"/>
          <w:szCs w:val="20"/>
        </w:rPr>
        <w:t xml:space="preserve">current </w:t>
      </w:r>
      <w:r w:rsidR="007031BE" w:rsidRPr="00157824">
        <w:rPr>
          <w:rFonts w:ascii="Times New Roman" w:hAnsi="Times New Roman"/>
          <w:sz w:val="20"/>
          <w:szCs w:val="20"/>
        </w:rPr>
        <w:t xml:space="preserve">serving cell is </w:t>
      </w:r>
      <w:r w:rsidR="00D647F1" w:rsidRPr="00157824">
        <w:rPr>
          <w:rFonts w:ascii="Times New Roman" w:hAnsi="Times New Roman"/>
          <w:sz w:val="20"/>
          <w:szCs w:val="20"/>
        </w:rPr>
        <w:t xml:space="preserve">associated with a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referenceLocation1</w:t>
      </w:r>
      <w:r w:rsidR="007031BE" w:rsidRPr="00157824">
        <w:rPr>
          <w:rFonts w:ascii="Times New Roman" w:hAnsi="Times New Roman"/>
          <w:sz w:val="20"/>
          <w:szCs w:val="20"/>
        </w:rPr>
        <w:t xml:space="preserve"> and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threshold1</w:t>
      </w:r>
      <w:r w:rsidR="007031BE" w:rsidRPr="00157824">
        <w:rPr>
          <w:rFonts w:ascii="Times New Roman" w:hAnsi="Times New Roman"/>
          <w:sz w:val="20"/>
          <w:szCs w:val="20"/>
        </w:rPr>
        <w:t xml:space="preserve">, and </w:t>
      </w:r>
      <w:r w:rsidR="00AD6420" w:rsidRPr="00157824">
        <w:rPr>
          <w:rFonts w:ascii="Times New Roman" w:hAnsi="Times New Roman"/>
          <w:sz w:val="20"/>
          <w:szCs w:val="20"/>
        </w:rPr>
        <w:t xml:space="preserve">the candidate target cell with a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referenceLocation2</w:t>
      </w:r>
      <w:r w:rsidR="007031BE" w:rsidRPr="00157824">
        <w:rPr>
          <w:rFonts w:ascii="Times New Roman" w:hAnsi="Times New Roman"/>
          <w:sz w:val="20"/>
          <w:szCs w:val="20"/>
        </w:rPr>
        <w:t xml:space="preserve"> </w:t>
      </w:r>
      <w:r w:rsidR="00AD6420" w:rsidRPr="00157824">
        <w:rPr>
          <w:rFonts w:ascii="Times New Roman" w:hAnsi="Times New Roman"/>
          <w:sz w:val="20"/>
          <w:szCs w:val="20"/>
        </w:rPr>
        <w:t xml:space="preserve">and </w:t>
      </w:r>
      <w:r w:rsidR="007031BE" w:rsidRPr="00157824">
        <w:rPr>
          <w:rFonts w:ascii="Times New Roman" w:hAnsi="Times New Roman"/>
          <w:i/>
          <w:iCs/>
          <w:sz w:val="20"/>
          <w:szCs w:val="20"/>
        </w:rPr>
        <w:t>threshold2</w:t>
      </w:r>
      <w:r w:rsidR="007031BE" w:rsidRPr="00157824">
        <w:rPr>
          <w:rFonts w:ascii="Times New Roman" w:hAnsi="Times New Roman"/>
          <w:sz w:val="20"/>
          <w:szCs w:val="20"/>
        </w:rPr>
        <w:t>. The event is fulfilled</w:t>
      </w:r>
      <w:r w:rsidR="00AD6420" w:rsidRPr="00157824">
        <w:rPr>
          <w:rFonts w:ascii="Times New Roman" w:hAnsi="Times New Roman"/>
          <w:sz w:val="20"/>
          <w:szCs w:val="20"/>
        </w:rPr>
        <w:t xml:space="preserve"> if</w:t>
      </w:r>
      <w:r w:rsidR="00D72B85" w:rsidRPr="00157824">
        <w:rPr>
          <w:rFonts w:ascii="Times New Roman" w:hAnsi="Times New Roman"/>
          <w:sz w:val="20"/>
          <w:szCs w:val="20"/>
        </w:rPr>
        <w:t xml:space="preserve"> the distance between the UE and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referenceLocation1</w:t>
      </w:r>
      <w:r w:rsidR="00D72B85" w:rsidRPr="00157824">
        <w:rPr>
          <w:rFonts w:ascii="Times New Roman" w:hAnsi="Times New Roman"/>
          <w:sz w:val="20"/>
          <w:szCs w:val="20"/>
        </w:rPr>
        <w:t xml:space="preserve"> becomes larger than the configured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threshold1</w:t>
      </w:r>
      <w:r w:rsidR="00D72B85" w:rsidRPr="00157824">
        <w:rPr>
          <w:rFonts w:ascii="Times New Roman" w:hAnsi="Times New Roman"/>
          <w:sz w:val="20"/>
          <w:szCs w:val="20"/>
        </w:rPr>
        <w:t xml:space="preserve"> and the distance between the UE and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referenceLocation2</w:t>
      </w:r>
      <w:r w:rsidR="00D72B85" w:rsidRPr="00157824">
        <w:rPr>
          <w:rFonts w:ascii="Times New Roman" w:hAnsi="Times New Roman"/>
          <w:sz w:val="20"/>
          <w:szCs w:val="20"/>
        </w:rPr>
        <w:t xml:space="preserve"> becomes shorter than configured </w:t>
      </w:r>
      <w:r w:rsidR="00D72B85" w:rsidRPr="00157824">
        <w:rPr>
          <w:rFonts w:ascii="Times New Roman" w:hAnsi="Times New Roman"/>
          <w:i/>
          <w:iCs/>
          <w:sz w:val="20"/>
          <w:szCs w:val="20"/>
        </w:rPr>
        <w:t>threshold2</w:t>
      </w:r>
      <w:r w:rsidR="00D72B85" w:rsidRPr="00157824">
        <w:rPr>
          <w:rFonts w:ascii="Times New Roman" w:hAnsi="Times New Roman"/>
          <w:sz w:val="20"/>
          <w:szCs w:val="20"/>
        </w:rPr>
        <w:t xml:space="preserve">. </w:t>
      </w:r>
    </w:p>
    <w:p w14:paraId="134880AF" w14:textId="6766B010" w:rsidR="00A913A8" w:rsidRDefault="00F57255" w:rsidP="00157824">
      <w:pPr>
        <w:pStyle w:val="ListParagraph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157824">
        <w:rPr>
          <w:rFonts w:ascii="Times New Roman" w:hAnsi="Times New Roman"/>
          <w:sz w:val="20"/>
          <w:szCs w:val="20"/>
        </w:rPr>
        <w:t xml:space="preserve">The time-based event </w:t>
      </w:r>
      <w:r w:rsidR="00351C2D" w:rsidRPr="00157824">
        <w:rPr>
          <w:rFonts w:ascii="Times New Roman" w:hAnsi="Times New Roman"/>
          <w:sz w:val="20"/>
          <w:szCs w:val="20"/>
        </w:rPr>
        <w:t xml:space="preserve">T1 </w:t>
      </w:r>
      <w:r w:rsidRPr="00157824">
        <w:rPr>
          <w:rFonts w:ascii="Times New Roman" w:hAnsi="Times New Roman"/>
          <w:sz w:val="20"/>
          <w:szCs w:val="20"/>
        </w:rPr>
        <w:t xml:space="preserve">is defined by </w:t>
      </w:r>
      <w:r w:rsidR="009908E0" w:rsidRPr="00157824">
        <w:rPr>
          <w:rFonts w:ascii="Times New Roman" w:hAnsi="Times New Roman"/>
          <w:sz w:val="20"/>
          <w:szCs w:val="20"/>
        </w:rPr>
        <w:t xml:space="preserve">a </w:t>
      </w:r>
      <w:r w:rsidR="00351C2D" w:rsidRPr="00157824">
        <w:rPr>
          <w:rFonts w:ascii="Times New Roman" w:hAnsi="Times New Roman"/>
          <w:sz w:val="20"/>
          <w:szCs w:val="20"/>
        </w:rPr>
        <w:t xml:space="preserve">certain point in time </w:t>
      </w:r>
      <w:r w:rsidR="00AB4D2E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AB4D2E" w:rsidRPr="00157824">
        <w:rPr>
          <w:rFonts w:ascii="Times New Roman" w:hAnsi="Times New Roman"/>
          <w:sz w:val="20"/>
          <w:szCs w:val="20"/>
        </w:rPr>
        <w:t xml:space="preserve"> </w:t>
      </w:r>
      <w:r w:rsidRPr="00157824">
        <w:rPr>
          <w:rFonts w:ascii="Times New Roman" w:hAnsi="Times New Roman"/>
          <w:sz w:val="20"/>
          <w:szCs w:val="20"/>
        </w:rPr>
        <w:t xml:space="preserve">and a </w:t>
      </w:r>
      <w:r w:rsidRPr="00157824">
        <w:rPr>
          <w:rFonts w:ascii="Times New Roman" w:hAnsi="Times New Roman"/>
          <w:i/>
          <w:iCs/>
          <w:sz w:val="20"/>
          <w:szCs w:val="20"/>
        </w:rPr>
        <w:t>duration</w:t>
      </w:r>
      <w:r w:rsidRPr="00157824">
        <w:rPr>
          <w:rFonts w:ascii="Times New Roman" w:hAnsi="Times New Roman"/>
          <w:sz w:val="20"/>
          <w:szCs w:val="20"/>
        </w:rPr>
        <w:t xml:space="preserve">. The event </w:t>
      </w:r>
      <w:r w:rsidR="00351C2D" w:rsidRPr="00157824">
        <w:rPr>
          <w:rFonts w:ascii="Times New Roman" w:hAnsi="Times New Roman"/>
          <w:sz w:val="20"/>
          <w:szCs w:val="20"/>
        </w:rPr>
        <w:t xml:space="preserve">is </w:t>
      </w:r>
      <w:r w:rsidRPr="00157824">
        <w:rPr>
          <w:rFonts w:ascii="Times New Roman" w:hAnsi="Times New Roman"/>
          <w:sz w:val="20"/>
          <w:szCs w:val="20"/>
        </w:rPr>
        <w:t xml:space="preserve">fulfilled </w:t>
      </w:r>
      <w:r w:rsidR="00A21CF6" w:rsidRPr="00157824">
        <w:rPr>
          <w:rFonts w:ascii="Times New Roman" w:hAnsi="Times New Roman"/>
          <w:sz w:val="20"/>
          <w:szCs w:val="20"/>
        </w:rPr>
        <w:t xml:space="preserve">between the times </w:t>
      </w:r>
      <w:r w:rsidR="00A21CF6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A21CF6" w:rsidRPr="00157824">
        <w:rPr>
          <w:rFonts w:ascii="Times New Roman" w:hAnsi="Times New Roman"/>
          <w:sz w:val="20"/>
          <w:szCs w:val="20"/>
        </w:rPr>
        <w:t xml:space="preserve"> and </w:t>
      </w:r>
      <w:r w:rsidR="00A21CF6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1A6F84" w:rsidRPr="00157824">
        <w:rPr>
          <w:rFonts w:ascii="Times New Roman" w:hAnsi="Times New Roman"/>
          <w:sz w:val="20"/>
          <w:szCs w:val="20"/>
        </w:rPr>
        <w:t xml:space="preserve">, i.e., </w:t>
      </w:r>
      <w:r w:rsidR="00587C8B" w:rsidRPr="00157824">
        <w:rPr>
          <w:rFonts w:ascii="Times New Roman" w:hAnsi="Times New Roman"/>
          <w:sz w:val="20"/>
          <w:szCs w:val="20"/>
        </w:rPr>
        <w:t>after</w:t>
      </w:r>
      <w:r w:rsidR="00C67D57" w:rsidRPr="00157824">
        <w:rPr>
          <w:rFonts w:ascii="Times New Roman" w:hAnsi="Times New Roman"/>
          <w:sz w:val="20"/>
          <w:szCs w:val="20"/>
        </w:rPr>
        <w:t xml:space="preserve"> the time </w:t>
      </w:r>
      <w:r w:rsidR="00C67D57" w:rsidRPr="00157824">
        <w:rPr>
          <w:rFonts w:ascii="Times New Roman" w:hAnsi="Times New Roman"/>
          <w:i/>
          <w:iCs/>
          <w:sz w:val="20"/>
          <w:szCs w:val="20"/>
        </w:rPr>
        <w:t>t1</w:t>
      </w:r>
      <w:r w:rsidR="00C67D57" w:rsidRPr="00157824">
        <w:rPr>
          <w:rFonts w:ascii="Times New Roman" w:hAnsi="Times New Roman"/>
          <w:sz w:val="20"/>
          <w:szCs w:val="20"/>
        </w:rPr>
        <w:t xml:space="preserve"> has passed at the UE, but before </w:t>
      </w:r>
      <w:r w:rsidR="00E82CC0" w:rsidRPr="00157824">
        <w:rPr>
          <w:rFonts w:ascii="Times New Roman" w:hAnsi="Times New Roman"/>
          <w:sz w:val="20"/>
          <w:szCs w:val="20"/>
        </w:rPr>
        <w:t xml:space="preserve">the time </w:t>
      </w:r>
      <w:r w:rsidR="00E82CC0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E82CC0" w:rsidRPr="00157824">
        <w:rPr>
          <w:rFonts w:ascii="Times New Roman" w:hAnsi="Times New Roman"/>
          <w:sz w:val="20"/>
          <w:szCs w:val="20"/>
        </w:rPr>
        <w:t xml:space="preserve"> </w:t>
      </w:r>
      <w:r w:rsidR="001A6F84" w:rsidRPr="00157824">
        <w:rPr>
          <w:rFonts w:ascii="Times New Roman" w:hAnsi="Times New Roman"/>
          <w:sz w:val="20"/>
          <w:szCs w:val="20"/>
        </w:rPr>
        <w:t>passes</w:t>
      </w:r>
      <w:r w:rsidR="000A22FA" w:rsidRPr="00157824">
        <w:rPr>
          <w:rFonts w:ascii="Times New Roman" w:hAnsi="Times New Roman"/>
          <w:sz w:val="20"/>
          <w:szCs w:val="20"/>
        </w:rPr>
        <w:t xml:space="preserve">, where 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>t2</w:t>
      </w:r>
      <w:r w:rsidR="000A22FA" w:rsidRPr="00157824">
        <w:rPr>
          <w:rFonts w:ascii="Times New Roman" w:hAnsi="Times New Roman"/>
          <w:sz w:val="20"/>
          <w:szCs w:val="20"/>
        </w:rPr>
        <w:t xml:space="preserve"> is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 xml:space="preserve"> t1 </w:t>
      </w:r>
      <w:r w:rsidR="000A22FA" w:rsidRPr="00157824">
        <w:rPr>
          <w:rFonts w:ascii="Times New Roman" w:hAnsi="Times New Roman"/>
          <w:sz w:val="20"/>
          <w:szCs w:val="20"/>
        </w:rPr>
        <w:t xml:space="preserve">+ </w:t>
      </w:r>
      <w:r w:rsidR="000A22FA" w:rsidRPr="00157824">
        <w:rPr>
          <w:rFonts w:ascii="Times New Roman" w:hAnsi="Times New Roman"/>
          <w:i/>
          <w:iCs/>
          <w:sz w:val="20"/>
          <w:szCs w:val="20"/>
        </w:rPr>
        <w:t>duration</w:t>
      </w:r>
      <w:r w:rsidR="00E82CC0" w:rsidRPr="00157824">
        <w:rPr>
          <w:rFonts w:ascii="Times New Roman" w:hAnsi="Times New Roman"/>
          <w:sz w:val="20"/>
          <w:szCs w:val="20"/>
        </w:rPr>
        <w:t>.</w:t>
      </w:r>
    </w:p>
    <w:p w14:paraId="697D3A70" w14:textId="77777777" w:rsidR="00157824" w:rsidRPr="00157824" w:rsidRDefault="00157824" w:rsidP="00157824"/>
    <w:p w14:paraId="0EDB3AAD" w14:textId="00DDA3E7" w:rsidR="00587C8B" w:rsidRDefault="00135F57" w:rsidP="00811636">
      <w:r>
        <w:t xml:space="preserve">In addition, the existing event A4 has been </w:t>
      </w:r>
      <w:r w:rsidR="00F22894">
        <w:t xml:space="preserve">enabled </w:t>
      </w:r>
      <w:r>
        <w:t>to be used in CHO.</w:t>
      </w:r>
      <w:r w:rsidR="00F273D4">
        <w:t xml:space="preserve"> </w:t>
      </w:r>
      <w:r w:rsidR="00587C8B">
        <w:t>Both the time-based and the location-based triggers have to be used together with a signal-strength based event (e.g. event A4)</w:t>
      </w:r>
      <w:r w:rsidR="00F22894">
        <w:t>.</w:t>
      </w:r>
      <w:r w:rsidR="00F273D4">
        <w:t xml:space="preserve"> </w:t>
      </w:r>
    </w:p>
    <w:p w14:paraId="51E59761" w14:textId="442BB060" w:rsidR="00F273D4" w:rsidRDefault="00F273D4" w:rsidP="00811636">
      <w:pPr>
        <w:rPr>
          <w:iCs/>
        </w:rPr>
      </w:pPr>
      <w:r>
        <w:t xml:space="preserve">In </w:t>
      </w:r>
      <w:r w:rsidR="0083741B">
        <w:t xml:space="preserve">the RRC </w:t>
      </w:r>
      <w:r w:rsidR="003A6E1E">
        <w:t>specification</w:t>
      </w:r>
      <w:r w:rsidR="009A2BF4">
        <w:t xml:space="preserve"> [</w:t>
      </w:r>
      <w:r w:rsidR="007D50E7">
        <w:t>3</w:t>
      </w:r>
      <w:r w:rsidR="009A2BF4">
        <w:t>]</w:t>
      </w:r>
      <w:r>
        <w:t>, the</w:t>
      </w:r>
      <w:r w:rsidR="0007799D">
        <w:t xml:space="preserve">se three </w:t>
      </w:r>
      <w:r w:rsidR="00320424">
        <w:t>new events have been added to the</w:t>
      </w:r>
      <w:r w:rsidR="004E72DB">
        <w:t xml:space="preserve"> </w:t>
      </w:r>
      <w:r w:rsidR="001276B1">
        <w:rPr>
          <w:i/>
        </w:rPr>
        <w:t>ReportConfigNR</w:t>
      </w:r>
      <w:r w:rsidR="001276B1" w:rsidRPr="001276B1">
        <w:rPr>
          <w:iCs/>
        </w:rPr>
        <w:t xml:space="preserve"> IE</w:t>
      </w:r>
      <w:r w:rsidR="001276B1">
        <w:rPr>
          <w:iCs/>
        </w:rPr>
        <w:t xml:space="preserve">: </w:t>
      </w:r>
    </w:p>
    <w:p w14:paraId="0969763A" w14:textId="77777777" w:rsidR="00664AA0" w:rsidRPr="009330BE" w:rsidRDefault="00664AA0" w:rsidP="009330BE">
      <w:pPr>
        <w:pStyle w:val="B1"/>
        <w:numPr>
          <w:ilvl w:val="0"/>
          <w:numId w:val="27"/>
        </w:numPr>
        <w:rPr>
          <w:rFonts w:eastAsiaTheme="minorEastAsia"/>
        </w:rPr>
      </w:pPr>
      <w:r w:rsidRPr="009330BE">
        <w:t>CondEvent A4: Conditional reconfiguration candidate becomes better than absolute threshold</w:t>
      </w:r>
      <w:r w:rsidRPr="009330BE">
        <w:rPr>
          <w:rFonts w:eastAsia="DengXian"/>
        </w:rPr>
        <w:t>;</w:t>
      </w:r>
    </w:p>
    <w:p w14:paraId="6893C790" w14:textId="77777777" w:rsidR="00664AA0" w:rsidRPr="009330BE" w:rsidRDefault="00664AA0" w:rsidP="009330BE">
      <w:pPr>
        <w:pStyle w:val="B1"/>
        <w:numPr>
          <w:ilvl w:val="0"/>
          <w:numId w:val="27"/>
        </w:numPr>
        <w:rPr>
          <w:rFonts w:eastAsiaTheme="minorEastAsia"/>
        </w:rPr>
      </w:pPr>
      <w:r w:rsidRPr="009330BE">
        <w:t xml:space="preserve">CondEvent D1: Distance between UE and a reference location </w:t>
      </w:r>
      <w:r w:rsidRPr="009330BE">
        <w:rPr>
          <w:i/>
          <w:iCs/>
        </w:rPr>
        <w:t>referenceLocation1</w:t>
      </w:r>
      <w:r w:rsidRPr="009330BE">
        <w:t xml:space="preserve"> becomes larger than configured threshold </w:t>
      </w:r>
      <w:r w:rsidRPr="009330BE">
        <w:rPr>
          <w:i/>
        </w:rPr>
        <w:t>distance</w:t>
      </w:r>
      <w:r w:rsidRPr="009330BE">
        <w:rPr>
          <w:i/>
          <w:iCs/>
        </w:rPr>
        <w:t>Thresh</w:t>
      </w:r>
      <w:r w:rsidRPr="009330BE">
        <w:rPr>
          <w:i/>
        </w:rPr>
        <w:t>FromReference</w:t>
      </w:r>
      <w:r w:rsidRPr="009330BE">
        <w:rPr>
          <w:i/>
          <w:iCs/>
        </w:rPr>
        <w:t>1</w:t>
      </w:r>
      <w:r w:rsidRPr="009330BE">
        <w:t xml:space="preserve"> and distance between UE and a reference location </w:t>
      </w:r>
      <w:r w:rsidRPr="009330BE">
        <w:rPr>
          <w:i/>
        </w:rPr>
        <w:t>referenceLocation2</w:t>
      </w:r>
      <w:r w:rsidRPr="009330BE">
        <w:t xml:space="preserve"> of conditional reconfiguration candidate becomes shorter than configured threshold </w:t>
      </w:r>
      <w:r w:rsidRPr="00E60D26">
        <w:rPr>
          <w:i/>
        </w:rPr>
        <w:t>distance</w:t>
      </w:r>
      <w:r w:rsidRPr="00E60D26">
        <w:rPr>
          <w:i/>
          <w:iCs/>
        </w:rPr>
        <w:t>Thresh</w:t>
      </w:r>
      <w:r w:rsidRPr="00E60D26">
        <w:rPr>
          <w:i/>
        </w:rPr>
        <w:t>FromReference</w:t>
      </w:r>
      <w:r w:rsidRPr="009330BE">
        <w:rPr>
          <w:i/>
          <w:iCs/>
        </w:rPr>
        <w:t>2</w:t>
      </w:r>
      <w:r w:rsidRPr="009330BE">
        <w:t>;</w:t>
      </w:r>
    </w:p>
    <w:p w14:paraId="085BD9AD" w14:textId="1B49D150" w:rsidR="00664AA0" w:rsidRDefault="00664AA0" w:rsidP="009330BE">
      <w:pPr>
        <w:pStyle w:val="B1"/>
        <w:numPr>
          <w:ilvl w:val="0"/>
          <w:numId w:val="27"/>
        </w:numPr>
      </w:pPr>
      <w:bookmarkStart w:id="6" w:name="_Hlk87969184"/>
      <w:r w:rsidRPr="009330BE">
        <w:t xml:space="preserve">CondEvent T1: Time measured at UE becomes more than configured threshold </w:t>
      </w:r>
      <w:r w:rsidRPr="00E60D26">
        <w:rPr>
          <w:i/>
        </w:rPr>
        <w:t>t1-</w:t>
      </w:r>
      <w:r w:rsidRPr="00E60D26">
        <w:rPr>
          <w:i/>
          <w:iCs/>
        </w:rPr>
        <w:t>Threshold</w:t>
      </w:r>
      <w:r w:rsidRPr="009330BE">
        <w:rPr>
          <w:i/>
          <w:iCs/>
        </w:rPr>
        <w:t xml:space="preserve"> </w:t>
      </w:r>
      <w:r w:rsidRPr="009330BE">
        <w:t xml:space="preserve">but is less than </w:t>
      </w:r>
      <w:r w:rsidRPr="00E60D26">
        <w:rPr>
          <w:i/>
        </w:rPr>
        <w:t>t1-Threshold + duration</w:t>
      </w:r>
      <w:r w:rsidRPr="009330BE">
        <w:t>;</w:t>
      </w:r>
    </w:p>
    <w:p w14:paraId="01BFD14C" w14:textId="77777777" w:rsidR="009330BE" w:rsidRDefault="009330BE" w:rsidP="009330BE">
      <w:pPr>
        <w:pStyle w:val="B1"/>
        <w:ind w:left="0" w:firstLine="0"/>
      </w:pPr>
    </w:p>
    <w:p w14:paraId="3F46D951" w14:textId="2E1C0203" w:rsidR="007220C4" w:rsidRDefault="007220C4" w:rsidP="007220C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606F2C38" w14:textId="77777777" w:rsidR="007220C4" w:rsidRPr="009330BE" w:rsidRDefault="007220C4" w:rsidP="009330BE">
      <w:pPr>
        <w:pStyle w:val="B1"/>
        <w:ind w:left="0" w:firstLine="0"/>
      </w:pPr>
    </w:p>
    <w:bookmarkEnd w:id="6"/>
    <w:p w14:paraId="6F2BDFB8" w14:textId="653FD19F" w:rsidR="00E74516" w:rsidRDefault="002650E6" w:rsidP="00080848">
      <w:pPr>
        <w:pStyle w:val="PL"/>
      </w:pPr>
      <w:r>
        <w:tab/>
      </w:r>
      <w:r>
        <w:tab/>
        <w:t>...</w:t>
      </w:r>
    </w:p>
    <w:p w14:paraId="0F54C743" w14:textId="32E07C53" w:rsidR="00080848" w:rsidRDefault="00080848" w:rsidP="00080848">
      <w:pPr>
        <w:pStyle w:val="PL"/>
      </w:pPr>
      <w:r>
        <w:t xml:space="preserve">        condEventA4-r17                  </w:t>
      </w:r>
      <w:r>
        <w:rPr>
          <w:color w:val="993366"/>
        </w:rPr>
        <w:t>SEQUENCE</w:t>
      </w:r>
      <w:r>
        <w:t xml:space="preserve"> {</w:t>
      </w:r>
    </w:p>
    <w:p w14:paraId="426CFD0D" w14:textId="77777777" w:rsidR="00080848" w:rsidRDefault="00080848" w:rsidP="00080848">
      <w:pPr>
        <w:pStyle w:val="PL"/>
      </w:pPr>
      <w:r>
        <w:t xml:space="preserve">            a4-Threshold-r17                 MeasTriggerQuantity,</w:t>
      </w:r>
    </w:p>
    <w:p w14:paraId="6A34BFE6" w14:textId="77777777" w:rsidR="00080848" w:rsidRDefault="00080848" w:rsidP="00080848">
      <w:pPr>
        <w:pStyle w:val="PL"/>
      </w:pPr>
      <w:r>
        <w:t xml:space="preserve">            hysteresis-r17                   Hysteresis,</w:t>
      </w:r>
    </w:p>
    <w:p w14:paraId="04B2D524" w14:textId="77777777" w:rsidR="00080848" w:rsidRDefault="00080848" w:rsidP="00080848">
      <w:pPr>
        <w:pStyle w:val="PL"/>
      </w:pPr>
      <w:r>
        <w:t xml:space="preserve">            timeToTrigger-r17                TimeToTrigger</w:t>
      </w:r>
    </w:p>
    <w:p w14:paraId="5BA77FD9" w14:textId="77777777" w:rsidR="00080848" w:rsidRDefault="00080848" w:rsidP="00080848">
      <w:pPr>
        <w:pStyle w:val="PL"/>
      </w:pPr>
      <w:r>
        <w:t xml:space="preserve">            </w:t>
      </w:r>
    </w:p>
    <w:p w14:paraId="43E08365" w14:textId="77777777" w:rsidR="00080848" w:rsidRDefault="00080848" w:rsidP="00080848">
      <w:pPr>
        <w:pStyle w:val="PL"/>
      </w:pPr>
      <w:r>
        <w:t xml:space="preserve">        },</w:t>
      </w:r>
    </w:p>
    <w:p w14:paraId="171D922F" w14:textId="77777777" w:rsidR="00080848" w:rsidRDefault="00080848" w:rsidP="00080848">
      <w:pPr>
        <w:pStyle w:val="PL"/>
      </w:pPr>
      <w:r>
        <w:t xml:space="preserve">        condEventD1-r17                  </w:t>
      </w:r>
      <w:r>
        <w:rPr>
          <w:color w:val="993366"/>
        </w:rPr>
        <w:t>SEQUENCE</w:t>
      </w:r>
      <w:r>
        <w:t xml:space="preserve"> {</w:t>
      </w:r>
    </w:p>
    <w:p w14:paraId="647DDC67" w14:textId="19B7EFEF" w:rsidR="00080848" w:rsidRDefault="00080848" w:rsidP="00080848">
      <w:pPr>
        <w:pStyle w:val="PL"/>
      </w:pPr>
      <w:r>
        <w:t xml:space="preserve">            distanceThreshFromReference1-r17  </w:t>
      </w:r>
      <w:r w:rsidR="00AD0B6B">
        <w:tab/>
      </w:r>
      <w:r>
        <w:rPr>
          <w:color w:val="993366"/>
        </w:rPr>
        <w:t>INTEGER</w:t>
      </w:r>
      <w:r>
        <w:t>(0.. 65525),</w:t>
      </w:r>
    </w:p>
    <w:p w14:paraId="4B7D589F" w14:textId="7D46A1BE" w:rsidR="00080848" w:rsidRDefault="00080848" w:rsidP="00080848">
      <w:pPr>
        <w:pStyle w:val="PL"/>
        <w:rPr>
          <w:color w:val="808080"/>
        </w:rPr>
      </w:pPr>
      <w:r>
        <w:t xml:space="preserve">            distanceThreshFromReference2-r17  </w:t>
      </w:r>
      <w:r w:rsidR="00AD0B6B">
        <w:tab/>
      </w:r>
      <w:r>
        <w:rPr>
          <w:color w:val="993366"/>
        </w:rPr>
        <w:t>INTEGER</w:t>
      </w:r>
      <w:r>
        <w:t xml:space="preserve">(0.. 65525),                       </w:t>
      </w:r>
    </w:p>
    <w:p w14:paraId="22BDB99C" w14:textId="3CE0205F" w:rsidR="00080848" w:rsidRDefault="00080848" w:rsidP="00080848">
      <w:pPr>
        <w:pStyle w:val="PL"/>
      </w:pPr>
      <w:r>
        <w:t xml:space="preserve">            referenceLocation1-r17           </w:t>
      </w:r>
      <w:r w:rsidR="00AD0B6B">
        <w:tab/>
      </w:r>
      <w:r>
        <w:t>ReferenceLocation-r17,</w:t>
      </w:r>
    </w:p>
    <w:p w14:paraId="63865416" w14:textId="407C6BAE" w:rsidR="00080848" w:rsidRDefault="00080848" w:rsidP="00080848">
      <w:pPr>
        <w:pStyle w:val="PL"/>
        <w:rPr>
          <w:color w:val="808080"/>
        </w:rPr>
      </w:pPr>
      <w:r>
        <w:t xml:space="preserve">            referenceLocation2-r17           </w:t>
      </w:r>
      <w:r w:rsidR="00AD0B6B">
        <w:tab/>
      </w:r>
      <w:r>
        <w:t xml:space="preserve">ReferenceLocation-r17,                    </w:t>
      </w:r>
    </w:p>
    <w:p w14:paraId="3354B599" w14:textId="003BD379" w:rsidR="00080848" w:rsidRDefault="00080848" w:rsidP="00080848">
      <w:pPr>
        <w:pStyle w:val="PL"/>
      </w:pPr>
      <w:r>
        <w:t xml:space="preserve">            hysteresis-r17                   </w:t>
      </w:r>
      <w:r w:rsidR="00AD0B6B">
        <w:tab/>
      </w:r>
      <w:r>
        <w:t>HysteresisLocation-r17,</w:t>
      </w:r>
    </w:p>
    <w:p w14:paraId="53C76DBF" w14:textId="122C7398" w:rsidR="00080848" w:rsidRDefault="00080848" w:rsidP="00080848">
      <w:pPr>
        <w:pStyle w:val="PL"/>
      </w:pPr>
      <w:r>
        <w:t xml:space="preserve">            timeToTrigger-r17                </w:t>
      </w:r>
      <w:r w:rsidR="00AD0B6B">
        <w:tab/>
      </w:r>
      <w:r>
        <w:t>TimeToTrigger</w:t>
      </w:r>
    </w:p>
    <w:p w14:paraId="24CA16F3" w14:textId="77777777" w:rsidR="00080848" w:rsidRDefault="00080848" w:rsidP="00080848">
      <w:pPr>
        <w:pStyle w:val="PL"/>
      </w:pPr>
      <w:r>
        <w:t xml:space="preserve">        },</w:t>
      </w:r>
    </w:p>
    <w:p w14:paraId="77DF2497" w14:textId="77777777" w:rsidR="00080848" w:rsidRDefault="00080848" w:rsidP="00080848">
      <w:pPr>
        <w:pStyle w:val="PL"/>
      </w:pPr>
      <w:r>
        <w:t xml:space="preserve">        condEventT1-r17                  </w:t>
      </w:r>
      <w:r>
        <w:rPr>
          <w:color w:val="993366"/>
        </w:rPr>
        <w:t>SEQUENCE</w:t>
      </w:r>
      <w:r>
        <w:t xml:space="preserve"> {</w:t>
      </w:r>
    </w:p>
    <w:p w14:paraId="468BBD86" w14:textId="77777777" w:rsidR="00080848" w:rsidRDefault="00080848" w:rsidP="00080848">
      <w:pPr>
        <w:pStyle w:val="PL"/>
      </w:pPr>
      <w:r>
        <w:t xml:space="preserve">            t1-Threshold-r17                 </w:t>
      </w:r>
      <w:r>
        <w:rPr>
          <w:color w:val="993366"/>
        </w:rPr>
        <w:t>INTEGER</w:t>
      </w:r>
      <w:r>
        <w:t xml:space="preserve"> (0..549755813887),</w:t>
      </w:r>
    </w:p>
    <w:p w14:paraId="79F2A381" w14:textId="77777777" w:rsidR="00080848" w:rsidRDefault="00080848" w:rsidP="00080848">
      <w:pPr>
        <w:pStyle w:val="PL"/>
      </w:pPr>
      <w:r>
        <w:t xml:space="preserve">            duration-r17                     </w:t>
      </w:r>
      <w:r>
        <w:rPr>
          <w:color w:val="993366"/>
        </w:rPr>
        <w:t>INTEGER</w:t>
      </w:r>
      <w:r>
        <w:t xml:space="preserve"> (1..6000)</w:t>
      </w:r>
    </w:p>
    <w:p w14:paraId="6C77864B" w14:textId="6495D37F" w:rsidR="00080848" w:rsidRDefault="00080848" w:rsidP="00080848">
      <w:pPr>
        <w:pStyle w:val="PL"/>
      </w:pPr>
      <w:r>
        <w:t xml:space="preserve">        }</w:t>
      </w:r>
    </w:p>
    <w:p w14:paraId="62DFA54C" w14:textId="7B41858D" w:rsidR="00080848" w:rsidRDefault="002650E6" w:rsidP="00080848">
      <w:pPr>
        <w:pStyle w:val="PL"/>
      </w:pPr>
      <w:r>
        <w:tab/>
      </w:r>
      <w:r>
        <w:tab/>
        <w:t>...</w:t>
      </w:r>
    </w:p>
    <w:p w14:paraId="1CE9C47B" w14:textId="77777777" w:rsidR="009D2E3F" w:rsidRDefault="009D2E3F" w:rsidP="00811636"/>
    <w:p w14:paraId="18044DDC" w14:textId="5990204C" w:rsidR="0007799D" w:rsidRDefault="00303F80" w:rsidP="00811636">
      <w:r>
        <w:t xml:space="preserve">The </w:t>
      </w:r>
      <w:r w:rsidR="001A1D35">
        <w:t>new field descriptions are given below: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9"/>
      </w:tblGrid>
      <w:tr w:rsidR="007550DD" w14:paraId="48797F7C" w14:textId="77777777" w:rsidTr="008D5A77">
        <w:trPr>
          <w:trHeight w:val="45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03B" w14:textId="77777777" w:rsidR="007550DD" w:rsidRDefault="007550DD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distanceThres</w:t>
            </w:r>
            <w:r>
              <w:rPr>
                <w:b/>
                <w:bCs/>
                <w:i/>
                <w:iCs/>
                <w:lang w:val="en-US"/>
              </w:rPr>
              <w:t>h</w:t>
            </w:r>
            <w:r>
              <w:rPr>
                <w:b/>
                <w:bCs/>
                <w:i/>
                <w:iCs/>
              </w:rPr>
              <w:t>FromReference1, distanceThreshFromReference2</w:t>
            </w:r>
          </w:p>
          <w:p w14:paraId="3CCABB20" w14:textId="77777777" w:rsidR="007550DD" w:rsidRDefault="007550DD" w:rsidP="00294D9A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r>
              <w:rPr>
                <w:i/>
                <w:szCs w:val="22"/>
              </w:rPr>
              <w:t xml:space="preserve">referenceLocation1 </w:t>
            </w:r>
            <w:r>
              <w:rPr>
                <w:iCs/>
                <w:szCs w:val="22"/>
              </w:rPr>
              <w:t>or</w:t>
            </w:r>
            <w:r>
              <w:rPr>
                <w:i/>
                <w:szCs w:val="22"/>
              </w:rPr>
              <w:t xml:space="preserve"> referenceLocation2. </w:t>
            </w:r>
            <w:r>
              <w:rPr>
                <w:iCs/>
                <w:szCs w:val="22"/>
              </w:rPr>
              <w:t>Each step represents 50m.</w:t>
            </w:r>
          </w:p>
        </w:tc>
      </w:tr>
      <w:tr w:rsidR="007550DD" w14:paraId="68C9B57A" w14:textId="77777777" w:rsidTr="008D5A77">
        <w:trPr>
          <w:trHeight w:val="484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7EB" w14:textId="77777777" w:rsidR="007550DD" w:rsidRDefault="007550DD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referenceLocation1, referenceLocation2</w:t>
            </w:r>
          </w:p>
          <w:p w14:paraId="1327613A" w14:textId="77777777" w:rsidR="007550DD" w:rsidRDefault="007550DD" w:rsidP="00294D9A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iCs/>
                <w:szCs w:val="22"/>
              </w:rPr>
              <w:t xml:space="preserve">Reference locations used for location based event. The </w:t>
            </w:r>
            <w:r>
              <w:rPr>
                <w:i/>
                <w:szCs w:val="22"/>
              </w:rPr>
              <w:t>referenceLocation1</w:t>
            </w:r>
            <w:r>
              <w:rPr>
                <w:iCs/>
                <w:szCs w:val="22"/>
              </w:rPr>
              <w:t xml:space="preserve"> is associated to serving cell and </w:t>
            </w:r>
            <w:r>
              <w:rPr>
                <w:i/>
                <w:szCs w:val="22"/>
              </w:rPr>
              <w:t>referenceLocation2</w:t>
            </w:r>
            <w:r>
              <w:rPr>
                <w:iCs/>
                <w:szCs w:val="22"/>
              </w:rPr>
              <w:t xml:space="preserve"> is associated to candidate target cell. </w:t>
            </w:r>
          </w:p>
        </w:tc>
      </w:tr>
      <w:tr w:rsidR="00BF5C64" w14:paraId="4CF4B326" w14:textId="77777777" w:rsidTr="008D5A77">
        <w:trPr>
          <w:trHeight w:val="366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204" w14:textId="77777777" w:rsidR="00BF5C64" w:rsidRDefault="00BF5C64" w:rsidP="00294D9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duration</w:t>
            </w:r>
          </w:p>
          <w:p w14:paraId="2D811AFA" w14:textId="77777777" w:rsidR="00BF5C64" w:rsidRDefault="00BF5C64" w:rsidP="00294D9A">
            <w:pPr>
              <w:pStyle w:val="TAL"/>
            </w:pPr>
            <w:r>
              <w:t>This field is used for defining the leaving condition T1-2 for conditional HO event condEvent T1. Each step represents 100ms.</w:t>
            </w:r>
          </w:p>
        </w:tc>
      </w:tr>
      <w:tr w:rsidR="00BF5C64" w14:paraId="419F36EE" w14:textId="77777777" w:rsidTr="008D5A77">
        <w:trPr>
          <w:trHeight w:val="545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9D6" w14:textId="77777777" w:rsidR="00BF5C64" w:rsidRDefault="00BF5C64" w:rsidP="00294D9A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b/>
                <w:i/>
                <w:szCs w:val="22"/>
                <w:lang w:eastAsia="en-GB"/>
              </w:rPr>
              <w:t>t1-Threshold</w:t>
            </w:r>
          </w:p>
          <w:p w14:paraId="53DF8932" w14:textId="77777777" w:rsidR="00BF5C64" w:rsidRDefault="00BF5C64" w:rsidP="00294D9A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en-US"/>
              </w:rPr>
              <w:t>The field counts the number of UTC seconds in 10 ms units since 00:00:00 on Gregorian calendar date 1 January, 1900 (midnight between Sunday, December 31, 1899 and Monday, January 1, 1900).</w:t>
            </w:r>
          </w:p>
        </w:tc>
      </w:tr>
    </w:tbl>
    <w:p w14:paraId="0DD733FE" w14:textId="77777777" w:rsidR="00135F57" w:rsidRDefault="00135F57" w:rsidP="00811636"/>
    <w:p w14:paraId="02E8E7C5" w14:textId="45BD297A" w:rsidR="007220C4" w:rsidRDefault="007220C4" w:rsidP="007220C4">
      <w:pPr>
        <w:pStyle w:val="BodyText"/>
        <w:jc w:val="center"/>
        <w:rPr>
          <w:color w:val="000000" w:themeColor="text1"/>
        </w:rPr>
      </w:pPr>
      <w:r w:rsidRPr="00997384">
        <w:rPr>
          <w:color w:val="000000" w:themeColor="text1"/>
        </w:rPr>
        <w:t>--------- 3</w:t>
      </w:r>
      <w:r>
        <w:rPr>
          <w:color w:val="000000" w:themeColor="text1"/>
        </w:rPr>
        <w:t>8</w:t>
      </w:r>
      <w:r w:rsidRPr="00997384">
        <w:rPr>
          <w:color w:val="000000" w:themeColor="text1"/>
        </w:rPr>
        <w:t>.331 ---------</w:t>
      </w:r>
    </w:p>
    <w:p w14:paraId="5CC4BF39" w14:textId="77777777" w:rsidR="007220C4" w:rsidRDefault="007220C4" w:rsidP="00811636"/>
    <w:p w14:paraId="1B99B4D0" w14:textId="7C8CA22A" w:rsidR="008D5A77" w:rsidRDefault="008A3E5E" w:rsidP="00B072D3">
      <w:pPr>
        <w:pStyle w:val="Observation"/>
      </w:pPr>
      <w:bookmarkStart w:id="7" w:name="_Toc111017781"/>
      <w:r>
        <w:t xml:space="preserve">In Rel-17 NR NTN, </w:t>
      </w:r>
      <w:r w:rsidR="00DA2CCB">
        <w:t>C</w:t>
      </w:r>
      <w:r w:rsidR="007C0E0D">
        <w:t xml:space="preserve">HO </w:t>
      </w:r>
      <w:r w:rsidR="00DA2CCB">
        <w:t xml:space="preserve">has been enhanced with </w:t>
      </w:r>
      <w:r>
        <w:t xml:space="preserve">time-based and location-based </w:t>
      </w:r>
      <w:r w:rsidR="00B072D3">
        <w:t>trigger conditions.</w:t>
      </w:r>
      <w:bookmarkEnd w:id="7"/>
    </w:p>
    <w:p w14:paraId="7B72C758" w14:textId="77777777" w:rsidR="00811636" w:rsidRDefault="00811636" w:rsidP="00811636"/>
    <w:p w14:paraId="13D21A07" w14:textId="155915B2" w:rsidR="000A4324" w:rsidRDefault="0014227D" w:rsidP="00811636">
      <w:r>
        <w:t xml:space="preserve">Both time-based and location-based CHO are essential for </w:t>
      </w:r>
      <w:r w:rsidR="00DC2516">
        <w:t xml:space="preserve">ensuring </w:t>
      </w:r>
      <w:r w:rsidR="009000B8">
        <w:t xml:space="preserve">reliable mobility in NTN. </w:t>
      </w:r>
      <w:r w:rsidR="000A4324">
        <w:t>L</w:t>
      </w:r>
      <w:r w:rsidR="000A4324" w:rsidRPr="0070086A">
        <w:t xml:space="preserve">ocation-based CHO is </w:t>
      </w:r>
      <w:r w:rsidR="000A4324">
        <w:t xml:space="preserve">thought to be used for example when a UE moves out of coverage of an Earth-fixed NTN cell, where </w:t>
      </w:r>
      <w:r w:rsidR="000A4324" w:rsidRPr="0070086A">
        <w:t xml:space="preserve">the signal strength alone </w:t>
      </w:r>
      <w:r w:rsidR="000A4324">
        <w:t xml:space="preserve">may </w:t>
      </w:r>
      <w:r w:rsidR="000A4324" w:rsidRPr="0070086A">
        <w:t xml:space="preserve">not </w:t>
      </w:r>
      <w:r w:rsidR="000A4324">
        <w:t xml:space="preserve">be </w:t>
      </w:r>
      <w:r w:rsidR="000A4324" w:rsidRPr="0070086A">
        <w:t xml:space="preserve">enough to distinguish </w:t>
      </w:r>
      <w:r w:rsidR="000A4324">
        <w:t xml:space="preserve">which cell a UE should be served from, but where this is clear from the UE location. An example </w:t>
      </w:r>
      <w:r w:rsidR="000A4324" w:rsidRPr="00F206D5">
        <w:t xml:space="preserve">use case of </w:t>
      </w:r>
      <w:r w:rsidR="000A4324">
        <w:t xml:space="preserve">the </w:t>
      </w:r>
      <w:r w:rsidR="000A4324" w:rsidRPr="00F206D5">
        <w:t xml:space="preserve">time-based event is </w:t>
      </w:r>
      <w:r w:rsidR="000A4324">
        <w:t>a service or feeder link switch in Earth-fixed NTNs</w:t>
      </w:r>
      <w:r w:rsidR="000A4324" w:rsidRPr="00F206D5">
        <w:t xml:space="preserve">, when </w:t>
      </w:r>
      <w:r w:rsidR="000A4324">
        <w:t xml:space="preserve">the serving cell is going to disappear and be replaced by another cell at a well-known time. </w:t>
      </w:r>
      <w:r w:rsidR="00C40CC5">
        <w:t xml:space="preserve">In addition to </w:t>
      </w:r>
      <w:r w:rsidR="00C769FC">
        <w:t xml:space="preserve">conveying </w:t>
      </w:r>
      <w:r w:rsidR="009D06BA" w:rsidRPr="009D06BA">
        <w:t xml:space="preserve">information to the UEs </w:t>
      </w:r>
      <w:r w:rsidR="00C40CC5">
        <w:t xml:space="preserve">about </w:t>
      </w:r>
      <w:r w:rsidR="009D06BA" w:rsidRPr="009D06BA">
        <w:t xml:space="preserve">when the switch will occur, </w:t>
      </w:r>
      <w:r w:rsidR="00C769FC">
        <w:t xml:space="preserve">the time window </w:t>
      </w:r>
      <w:r w:rsidR="009D06BA" w:rsidRPr="009D06BA">
        <w:t xml:space="preserve">can potentially be used to </w:t>
      </w:r>
      <w:r w:rsidR="00C769FC">
        <w:t xml:space="preserve">spread the </w:t>
      </w:r>
      <w:r w:rsidR="009D06BA" w:rsidRPr="009D06BA">
        <w:t xml:space="preserve">HO </w:t>
      </w:r>
      <w:r w:rsidR="00731ACD">
        <w:t>execution</w:t>
      </w:r>
      <w:r w:rsidR="00F046AC">
        <w:t xml:space="preserve">s in time </w:t>
      </w:r>
      <w:r w:rsidR="009D06BA" w:rsidRPr="009D06BA">
        <w:t xml:space="preserve">such that </w:t>
      </w:r>
      <w:r w:rsidR="00731ACD">
        <w:t xml:space="preserve">not </w:t>
      </w:r>
      <w:r w:rsidR="009D06BA" w:rsidRPr="009D06BA">
        <w:t xml:space="preserve">all UEs would attempt </w:t>
      </w:r>
      <w:r w:rsidR="00731ACD">
        <w:t xml:space="preserve">to </w:t>
      </w:r>
      <w:r w:rsidR="009D06BA" w:rsidRPr="009D06BA">
        <w:t>access the upcoming cell at the same time.</w:t>
      </w:r>
    </w:p>
    <w:p w14:paraId="77E8ADF0" w14:textId="77777777" w:rsidR="00811636" w:rsidRDefault="00811636" w:rsidP="00811636"/>
    <w:p w14:paraId="6F781187" w14:textId="17BE97D3" w:rsidR="009000B8" w:rsidRDefault="009000B8" w:rsidP="009000B8">
      <w:pPr>
        <w:pStyle w:val="Observation"/>
      </w:pPr>
      <w:bookmarkStart w:id="8" w:name="_Toc111017782"/>
      <w:r>
        <w:t>Both time-based and location-based CHO are essential for ensuring reliable mobility in NTN.</w:t>
      </w:r>
      <w:bookmarkEnd w:id="8"/>
    </w:p>
    <w:p w14:paraId="3FC1EC0B" w14:textId="77777777" w:rsidR="00811636" w:rsidRDefault="00811636" w:rsidP="00811636"/>
    <w:p w14:paraId="3ED32F1F" w14:textId="343D20B1" w:rsidR="00155D6E" w:rsidRDefault="009F5B79" w:rsidP="00811636">
      <w:r>
        <w:t xml:space="preserve">Given that CHO has been introduced in parallel in LTE and 5G NR, it seems straightforward to adapt the enhancements from the Rel-17 NR NTN work to </w:t>
      </w:r>
      <w:r w:rsidR="00860919">
        <w:t>IoT NTN</w:t>
      </w:r>
      <w:r>
        <w:t xml:space="preserve">. In particular, </w:t>
      </w:r>
      <w:r w:rsidR="00433AC7">
        <w:t xml:space="preserve">the new </w:t>
      </w:r>
      <w:r w:rsidR="000F31FB">
        <w:t xml:space="preserve">condEvents </w:t>
      </w:r>
      <w:r w:rsidR="00532177">
        <w:t>A4, D1, and T1</w:t>
      </w:r>
      <w:r w:rsidR="000F31FB">
        <w:t xml:space="preserve"> </w:t>
      </w:r>
      <w:r w:rsidR="003F4EAC">
        <w:t>sh</w:t>
      </w:r>
      <w:r w:rsidR="000F31FB">
        <w:t xml:space="preserve">ould be added to the </w:t>
      </w:r>
      <w:r w:rsidR="000F31FB" w:rsidRPr="00AE6180">
        <w:rPr>
          <w:i/>
          <w:iCs/>
        </w:rPr>
        <w:t>ReportConfigEUTRA</w:t>
      </w:r>
      <w:r w:rsidR="000F31FB">
        <w:t xml:space="preserve"> IE in TS 36.331</w:t>
      </w:r>
      <w:r w:rsidR="00EE4E0F">
        <w:t>.</w:t>
      </w:r>
    </w:p>
    <w:p w14:paraId="52AED43C" w14:textId="77777777" w:rsidR="00811636" w:rsidRDefault="00811636" w:rsidP="00811636"/>
    <w:p w14:paraId="173326A7" w14:textId="41976EFA" w:rsidR="004F75A1" w:rsidRDefault="00210CD9" w:rsidP="004F75A1">
      <w:pPr>
        <w:pStyle w:val="Proposal"/>
      </w:pPr>
      <w:bookmarkStart w:id="9" w:name="_Toc111017785"/>
      <w:r>
        <w:t>S</w:t>
      </w:r>
      <w:r w:rsidR="004F75A1">
        <w:t xml:space="preserve">pecify </w:t>
      </w:r>
      <w:r w:rsidR="004F75A1" w:rsidRPr="00835D20">
        <w:rPr>
          <w:i/>
          <w:iCs/>
        </w:rPr>
        <w:t>condEventA4</w:t>
      </w:r>
      <w:r w:rsidR="004F75A1">
        <w:t xml:space="preserve">, </w:t>
      </w:r>
      <w:r w:rsidR="004F75A1" w:rsidRPr="00835D20">
        <w:rPr>
          <w:i/>
          <w:iCs/>
        </w:rPr>
        <w:t>condEventD1</w:t>
      </w:r>
      <w:r w:rsidR="004F75A1">
        <w:t xml:space="preserve">, and </w:t>
      </w:r>
      <w:r w:rsidR="004F75A1" w:rsidRPr="00835D20">
        <w:rPr>
          <w:i/>
          <w:iCs/>
        </w:rPr>
        <w:t>condEventT1</w:t>
      </w:r>
      <w:r w:rsidR="004F75A1">
        <w:t xml:space="preserve"> for </w:t>
      </w:r>
      <w:r w:rsidR="003F4EAC">
        <w:t>eMTC</w:t>
      </w:r>
      <w:r w:rsidR="004D0116">
        <w:t>.</w:t>
      </w:r>
      <w:bookmarkEnd w:id="9"/>
    </w:p>
    <w:p w14:paraId="59C7CAB9" w14:textId="77777777" w:rsidR="000C3219" w:rsidRDefault="000C3219" w:rsidP="000C3219">
      <w:pPr>
        <w:pStyle w:val="Proposal"/>
        <w:numPr>
          <w:ilvl w:val="0"/>
          <w:numId w:val="0"/>
        </w:numPr>
        <w:ind w:left="1701" w:hanging="1701"/>
      </w:pPr>
    </w:p>
    <w:p w14:paraId="1AD37EEE" w14:textId="625A020A" w:rsidR="000C3219" w:rsidRDefault="000C3219" w:rsidP="000C3219">
      <w:r>
        <w:t>In addition</w:t>
      </w:r>
      <w:r w:rsidR="004514F0">
        <w:t xml:space="preserve">, </w:t>
      </w:r>
      <w:r w:rsidR="00487F95">
        <w:t xml:space="preserve">for the location-based conditional handover to function, it </w:t>
      </w:r>
      <w:r w:rsidR="007D003D">
        <w:t xml:space="preserve">becomes </w:t>
      </w:r>
      <w:r w:rsidR="00487F95">
        <w:t xml:space="preserve">necessary </w:t>
      </w:r>
      <w:r w:rsidR="007D003D">
        <w:t>to provide at least the serving cell reference location</w:t>
      </w:r>
      <w:r w:rsidR="0090437C">
        <w:t>. The IE ReferenceLocation has already been defined for NR NTN in 38.331 and can be adopted</w:t>
      </w:r>
      <w:r w:rsidR="00AB08B6">
        <w:t xml:space="preserve">. Besides, its value can be broadcast </w:t>
      </w:r>
      <w:r w:rsidR="00BC566B">
        <w:t>via</w:t>
      </w:r>
      <w:r w:rsidR="004557A5">
        <w:t xml:space="preserve"> System Information.</w:t>
      </w:r>
    </w:p>
    <w:p w14:paraId="1E5C99A6" w14:textId="77777777" w:rsidR="000F18A3" w:rsidRDefault="000F18A3" w:rsidP="000C3219"/>
    <w:p w14:paraId="6C166FBD" w14:textId="20BBA23F" w:rsidR="00292BB8" w:rsidRDefault="00292BB8" w:rsidP="004514F0">
      <w:pPr>
        <w:pStyle w:val="Proposal"/>
      </w:pPr>
      <w:bookmarkStart w:id="10" w:name="_Toc111017786"/>
      <w:r>
        <w:t>Adopt the ReferenceLocation IE from NR NTN.</w:t>
      </w:r>
      <w:bookmarkEnd w:id="10"/>
    </w:p>
    <w:p w14:paraId="670729EB" w14:textId="7F9401CF" w:rsidR="000F18A3" w:rsidRDefault="004514F0" w:rsidP="004514F0">
      <w:pPr>
        <w:pStyle w:val="Proposal"/>
      </w:pPr>
      <w:bookmarkStart w:id="11" w:name="_Toc111017787"/>
      <w:r>
        <w:t>Provide the serving cell reference location via System Information.</w:t>
      </w:r>
      <w:bookmarkEnd w:id="11"/>
    </w:p>
    <w:p w14:paraId="25F7DB23" w14:textId="3940C6F1" w:rsidR="000118F2" w:rsidRDefault="000118F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D7DEB" w14:textId="5F9EA4EA" w:rsidR="00F63950" w:rsidRDefault="00230D18" w:rsidP="00B63BF2">
      <w:pPr>
        <w:pStyle w:val="Heading1"/>
      </w:pPr>
      <w:r>
        <w:lastRenderedPageBreak/>
        <w:t>3</w:t>
      </w:r>
      <w:r>
        <w:tab/>
      </w:r>
      <w:r w:rsidR="00B63BF2">
        <w:t>Conclusions</w:t>
      </w:r>
    </w:p>
    <w:p w14:paraId="0D39E4CC" w14:textId="77777777" w:rsidR="008E065E" w:rsidRDefault="008E065E" w:rsidP="004A56D7">
      <w:pPr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DBEDD56" w14:textId="2BC84EE1" w:rsidR="0027629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017778" w:history="1">
        <w:r w:rsidR="0027629A" w:rsidRPr="008E125D">
          <w:rPr>
            <w:rStyle w:val="Hyperlink"/>
            <w:noProof/>
          </w:rPr>
          <w:t>Observation 1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8E125D">
          <w:rPr>
            <w:rStyle w:val="Hyperlink"/>
            <w:noProof/>
          </w:rPr>
          <w:t>NB-IoT UEs can trigger connected mode measurements upon fulfilment of a power criterion.</w:t>
        </w:r>
      </w:hyperlink>
    </w:p>
    <w:p w14:paraId="2E3E14EB" w14:textId="58550B9A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79" w:history="1">
        <w:r w:rsidR="0027629A" w:rsidRPr="008E125D">
          <w:rPr>
            <w:rStyle w:val="Hyperlink"/>
            <w:noProof/>
          </w:rPr>
          <w:t>Observation 2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8E125D">
          <w:rPr>
            <w:rStyle w:val="Hyperlink"/>
            <w:noProof/>
          </w:rPr>
          <w:t>The power criterion alone might not be sufficient for NTN.</w:t>
        </w:r>
      </w:hyperlink>
    </w:p>
    <w:p w14:paraId="1EB54BB2" w14:textId="25088FAB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0" w:history="1">
        <w:r w:rsidR="0027629A" w:rsidRPr="008E125D">
          <w:rPr>
            <w:rStyle w:val="Hyperlink"/>
            <w:noProof/>
          </w:rPr>
          <w:t>Observation 3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8E125D">
          <w:rPr>
            <w:rStyle w:val="Hyperlink"/>
            <w:noProof/>
          </w:rPr>
          <w:t>CHO has been introduced in Rel-16 in parallel for LTE and 5G NR.</w:t>
        </w:r>
      </w:hyperlink>
    </w:p>
    <w:p w14:paraId="2C25BAB7" w14:textId="4150AEDD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1" w:history="1">
        <w:r w:rsidR="0027629A" w:rsidRPr="008E125D">
          <w:rPr>
            <w:rStyle w:val="Hyperlink"/>
            <w:noProof/>
          </w:rPr>
          <w:t>Observation 4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8E125D">
          <w:rPr>
            <w:rStyle w:val="Hyperlink"/>
            <w:noProof/>
          </w:rPr>
          <w:t>In Rel-17 NR NTN, CHO has been enhanced with time-based and location-based trigger conditions.</w:t>
        </w:r>
      </w:hyperlink>
    </w:p>
    <w:p w14:paraId="3E78CA29" w14:textId="76EAC43C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2" w:history="1">
        <w:r w:rsidR="0027629A" w:rsidRPr="008E125D">
          <w:rPr>
            <w:rStyle w:val="Hyperlink"/>
            <w:noProof/>
          </w:rPr>
          <w:t>Observation 5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8E125D">
          <w:rPr>
            <w:rStyle w:val="Hyperlink"/>
            <w:noProof/>
          </w:rPr>
          <w:t>Both time-based and location-based CHO are essential for ensuring reliable mobility in NTN.</w:t>
        </w:r>
      </w:hyperlink>
    </w:p>
    <w:p w14:paraId="2C9C9770" w14:textId="3AF04BE7" w:rsidR="006E1C82" w:rsidRDefault="006F6582" w:rsidP="004A56D7"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0BE6EE88" w14:textId="72515917" w:rsidR="0027629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7783" w:history="1">
        <w:r w:rsidR="0027629A" w:rsidRPr="00E0335B">
          <w:rPr>
            <w:rStyle w:val="Hyperlink"/>
            <w:noProof/>
          </w:rPr>
          <w:t>Proposal 1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E0335B">
          <w:rPr>
            <w:rStyle w:val="Hyperlink"/>
            <w:noProof/>
          </w:rPr>
          <w:t>The existing criteria combined with a distance and/or time threshold can be used to improve service interruption in NB-IoT mobility.</w:t>
        </w:r>
      </w:hyperlink>
    </w:p>
    <w:p w14:paraId="35598676" w14:textId="1853AE02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4" w:history="1">
        <w:r w:rsidR="0027629A" w:rsidRPr="00E0335B">
          <w:rPr>
            <w:rStyle w:val="Hyperlink"/>
            <w:noProof/>
          </w:rPr>
          <w:t>Proposal 2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E0335B">
          <w:rPr>
            <w:rStyle w:val="Hyperlink"/>
            <w:noProof/>
          </w:rPr>
          <w:t>Cell footprint information is broadcast in a new or existing SIB to assist measurements in connected mode.</w:t>
        </w:r>
      </w:hyperlink>
    </w:p>
    <w:p w14:paraId="46883967" w14:textId="102DD81C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5" w:history="1">
        <w:r w:rsidR="0027629A" w:rsidRPr="00E0335B">
          <w:rPr>
            <w:rStyle w:val="Hyperlink"/>
            <w:noProof/>
          </w:rPr>
          <w:t>Proposal 3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E0335B">
          <w:rPr>
            <w:rStyle w:val="Hyperlink"/>
            <w:noProof/>
          </w:rPr>
          <w:t xml:space="preserve">Specify </w:t>
        </w:r>
        <w:r w:rsidR="0027629A" w:rsidRPr="00E0335B">
          <w:rPr>
            <w:rStyle w:val="Hyperlink"/>
            <w:i/>
            <w:iCs/>
            <w:noProof/>
          </w:rPr>
          <w:t>condEventA4</w:t>
        </w:r>
        <w:r w:rsidR="0027629A" w:rsidRPr="00E0335B">
          <w:rPr>
            <w:rStyle w:val="Hyperlink"/>
            <w:noProof/>
          </w:rPr>
          <w:t xml:space="preserve">, </w:t>
        </w:r>
        <w:r w:rsidR="0027629A" w:rsidRPr="00E0335B">
          <w:rPr>
            <w:rStyle w:val="Hyperlink"/>
            <w:i/>
            <w:iCs/>
            <w:noProof/>
          </w:rPr>
          <w:t>condEventD1</w:t>
        </w:r>
        <w:r w:rsidR="0027629A" w:rsidRPr="00E0335B">
          <w:rPr>
            <w:rStyle w:val="Hyperlink"/>
            <w:noProof/>
          </w:rPr>
          <w:t xml:space="preserve">, and </w:t>
        </w:r>
        <w:r w:rsidR="0027629A" w:rsidRPr="00E0335B">
          <w:rPr>
            <w:rStyle w:val="Hyperlink"/>
            <w:i/>
            <w:iCs/>
            <w:noProof/>
          </w:rPr>
          <w:t>condEventT1</w:t>
        </w:r>
        <w:r w:rsidR="0027629A" w:rsidRPr="00E0335B">
          <w:rPr>
            <w:rStyle w:val="Hyperlink"/>
            <w:noProof/>
          </w:rPr>
          <w:t xml:space="preserve"> for eMTC.</w:t>
        </w:r>
      </w:hyperlink>
    </w:p>
    <w:p w14:paraId="730F0AC4" w14:textId="266FDE78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6" w:history="1">
        <w:r w:rsidR="0027629A" w:rsidRPr="00E0335B">
          <w:rPr>
            <w:rStyle w:val="Hyperlink"/>
            <w:noProof/>
          </w:rPr>
          <w:t>Proposal 4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E0335B">
          <w:rPr>
            <w:rStyle w:val="Hyperlink"/>
            <w:noProof/>
          </w:rPr>
          <w:t>Adopt the ReferenceLocation IE from NR NTN.</w:t>
        </w:r>
      </w:hyperlink>
    </w:p>
    <w:p w14:paraId="231D060E" w14:textId="6F064A5D" w:rsidR="0027629A" w:rsidRDefault="006725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7787" w:history="1">
        <w:r w:rsidR="0027629A" w:rsidRPr="00E0335B">
          <w:rPr>
            <w:rStyle w:val="Hyperlink"/>
            <w:noProof/>
          </w:rPr>
          <w:t>Proposal 5</w:t>
        </w:r>
        <w:r w:rsidR="0027629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27629A" w:rsidRPr="00E0335B">
          <w:rPr>
            <w:rStyle w:val="Hyperlink"/>
            <w:noProof/>
          </w:rPr>
          <w:t>Provide the serving cell reference location via System Information.</w:t>
        </w:r>
      </w:hyperlink>
    </w:p>
    <w:p w14:paraId="114CACFF" w14:textId="2B7DFC83" w:rsidR="00C01F33" w:rsidRPr="00CE0424" w:rsidRDefault="006E1C82" w:rsidP="00EE4E0F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5955E2C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77547369" w14:textId="69DBD78E" w:rsidR="00FA3AD7" w:rsidRPr="00B206C8" w:rsidRDefault="00FA3AD7" w:rsidP="00311702">
      <w:pPr>
        <w:pStyle w:val="Reference"/>
      </w:pPr>
      <w:bookmarkStart w:id="13" w:name="_Ref174151459"/>
      <w:bookmarkStart w:id="14" w:name="_Ref189809556"/>
      <w:r>
        <w:t>RP-2218</w:t>
      </w:r>
      <w:r w:rsidR="00584A8F">
        <w:t>06</w:t>
      </w:r>
      <w:r>
        <w:t xml:space="preserve">, </w:t>
      </w:r>
      <w:r w:rsidR="00002D21" w:rsidRPr="00747E13">
        <w:rPr>
          <w:rFonts w:cs="Arial"/>
          <w:iCs/>
          <w:szCs w:val="36"/>
        </w:rPr>
        <w:t xml:space="preserve">WID on </w:t>
      </w:r>
      <w:r w:rsidR="00002D21" w:rsidRPr="00B206C8">
        <w:rPr>
          <w:rFonts w:cs="Arial"/>
          <w:iCs/>
          <w:szCs w:val="36"/>
        </w:rPr>
        <w:t>IoT NTN enhancements</w:t>
      </w:r>
      <w:r w:rsidRPr="00B206C8">
        <w:t xml:space="preserve">, </w:t>
      </w:r>
      <w:r w:rsidR="00002D21" w:rsidRPr="00B206C8">
        <w:t>MediaTek</w:t>
      </w:r>
      <w:r w:rsidRPr="00B206C8">
        <w:t>, RAN#96, June 6-9, 2022</w:t>
      </w:r>
    </w:p>
    <w:p w14:paraId="18E6FAFD" w14:textId="6C31D194" w:rsidR="007D50E7" w:rsidRPr="00B206C8" w:rsidRDefault="00493799" w:rsidP="00311702">
      <w:pPr>
        <w:pStyle w:val="Reference"/>
      </w:pPr>
      <w:r w:rsidRPr="00B206C8">
        <w:t xml:space="preserve">TR 38.821, </w:t>
      </w:r>
      <w:r w:rsidR="00B206C8" w:rsidRPr="00B206C8">
        <w:t>Solutions for NR to support non-terrestrial networks (NTN), V16.1.0, June 2021</w:t>
      </w:r>
    </w:p>
    <w:p w14:paraId="5C004A3B" w14:textId="6D781A07" w:rsidR="005F3025" w:rsidRPr="00CE0424" w:rsidRDefault="00EC30B7" w:rsidP="00311702">
      <w:pPr>
        <w:pStyle w:val="Reference"/>
      </w:pPr>
      <w:r w:rsidRPr="00B206C8">
        <w:t>TS 38.331</w:t>
      </w:r>
      <w:r w:rsidR="005F3025" w:rsidRPr="00B206C8">
        <w:t xml:space="preserve">, </w:t>
      </w:r>
      <w:r w:rsidR="00DA0EE7" w:rsidRPr="00B206C8">
        <w:t>Radio Resource</w:t>
      </w:r>
      <w:r w:rsidR="00DA0EE7" w:rsidRPr="00DA0EE7">
        <w:t xml:space="preserve"> Control (RRC) protocol specification</w:t>
      </w:r>
      <w:r w:rsidR="005F3025" w:rsidRPr="00CE0424">
        <w:t xml:space="preserve">, </w:t>
      </w:r>
      <w:r w:rsidR="00B70503">
        <w:t>V17.1.0</w:t>
      </w:r>
      <w:r w:rsidR="005F3025" w:rsidRPr="00CE0424">
        <w:t xml:space="preserve">, </w:t>
      </w:r>
      <w:r w:rsidR="00B70503">
        <w:t>June 2022</w:t>
      </w:r>
    </w:p>
    <w:bookmarkEnd w:id="13"/>
    <w:bookmarkEnd w:id="14"/>
    <w:p w14:paraId="122CACA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D005D" w14:textId="77777777" w:rsidR="00601DD3" w:rsidRDefault="00601DD3">
      <w:r>
        <w:separator/>
      </w:r>
    </w:p>
  </w:endnote>
  <w:endnote w:type="continuationSeparator" w:id="0">
    <w:p w14:paraId="7B628834" w14:textId="77777777" w:rsidR="00601DD3" w:rsidRDefault="00601DD3">
      <w:r>
        <w:continuationSeparator/>
      </w:r>
    </w:p>
  </w:endnote>
  <w:endnote w:type="continuationNotice" w:id="1">
    <w:p w14:paraId="1B407707" w14:textId="77777777" w:rsidR="00601DD3" w:rsidRDefault="00601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0CEE" w14:textId="77777777" w:rsidR="00601DD3" w:rsidRDefault="00601DD3">
      <w:r>
        <w:separator/>
      </w:r>
    </w:p>
  </w:footnote>
  <w:footnote w:type="continuationSeparator" w:id="0">
    <w:p w14:paraId="00914683" w14:textId="77777777" w:rsidR="00601DD3" w:rsidRDefault="00601DD3">
      <w:r>
        <w:continuationSeparator/>
      </w:r>
    </w:p>
  </w:footnote>
  <w:footnote w:type="continuationNotice" w:id="1">
    <w:p w14:paraId="2F3B7413" w14:textId="77777777" w:rsidR="00601DD3" w:rsidRDefault="00601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2"/>
  </w:num>
  <w:num w:numId="22">
    <w:abstractNumId w:val="24"/>
  </w:num>
  <w:num w:numId="23">
    <w:abstractNumId w:val="13"/>
  </w:num>
  <w:num w:numId="24">
    <w:abstractNumId w:val="11"/>
  </w:num>
  <w:num w:numId="25">
    <w:abstractNumId w:val="8"/>
  </w:num>
  <w:num w:numId="26">
    <w:abstractNumId w:val="21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564C"/>
    <w:rsid w:val="00006446"/>
    <w:rsid w:val="00006896"/>
    <w:rsid w:val="00007CDC"/>
    <w:rsid w:val="000118F2"/>
    <w:rsid w:val="00011A0B"/>
    <w:rsid w:val="00011B28"/>
    <w:rsid w:val="00011BA0"/>
    <w:rsid w:val="00015D15"/>
    <w:rsid w:val="00020890"/>
    <w:rsid w:val="0002564D"/>
    <w:rsid w:val="00025ECA"/>
    <w:rsid w:val="000325B8"/>
    <w:rsid w:val="00034C15"/>
    <w:rsid w:val="00036BA1"/>
    <w:rsid w:val="00037481"/>
    <w:rsid w:val="000422E2"/>
    <w:rsid w:val="00042F22"/>
    <w:rsid w:val="000444EF"/>
    <w:rsid w:val="000517EA"/>
    <w:rsid w:val="00052A07"/>
    <w:rsid w:val="00052E41"/>
    <w:rsid w:val="000534E3"/>
    <w:rsid w:val="0005606A"/>
    <w:rsid w:val="00057117"/>
    <w:rsid w:val="000616E7"/>
    <w:rsid w:val="0006487E"/>
    <w:rsid w:val="00065E1A"/>
    <w:rsid w:val="0007799D"/>
    <w:rsid w:val="00077E5F"/>
    <w:rsid w:val="0008036A"/>
    <w:rsid w:val="00080848"/>
    <w:rsid w:val="00081AE6"/>
    <w:rsid w:val="000855EB"/>
    <w:rsid w:val="00085B52"/>
    <w:rsid w:val="000866F2"/>
    <w:rsid w:val="0009009F"/>
    <w:rsid w:val="00091557"/>
    <w:rsid w:val="000924C1"/>
    <w:rsid w:val="000924F0"/>
    <w:rsid w:val="00092889"/>
    <w:rsid w:val="00093474"/>
    <w:rsid w:val="0009510F"/>
    <w:rsid w:val="000A1B7B"/>
    <w:rsid w:val="000A22FA"/>
    <w:rsid w:val="000A4324"/>
    <w:rsid w:val="000A56F2"/>
    <w:rsid w:val="000B033F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D0D07"/>
    <w:rsid w:val="000D224B"/>
    <w:rsid w:val="000D4797"/>
    <w:rsid w:val="000E0527"/>
    <w:rsid w:val="000E1E92"/>
    <w:rsid w:val="000F06D6"/>
    <w:rsid w:val="000F0EB1"/>
    <w:rsid w:val="000F1106"/>
    <w:rsid w:val="000F18A3"/>
    <w:rsid w:val="000F31FB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B7"/>
    <w:rsid w:val="001219F5"/>
    <w:rsid w:val="00121A20"/>
    <w:rsid w:val="0012377F"/>
    <w:rsid w:val="00124314"/>
    <w:rsid w:val="00126B4A"/>
    <w:rsid w:val="001276B1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50C53"/>
    <w:rsid w:val="00151E23"/>
    <w:rsid w:val="0015259F"/>
    <w:rsid w:val="001526E0"/>
    <w:rsid w:val="001551B5"/>
    <w:rsid w:val="00155D6E"/>
    <w:rsid w:val="00157824"/>
    <w:rsid w:val="00164448"/>
    <w:rsid w:val="001659C1"/>
    <w:rsid w:val="00173A8E"/>
    <w:rsid w:val="0017502C"/>
    <w:rsid w:val="0017585D"/>
    <w:rsid w:val="0018143F"/>
    <w:rsid w:val="00181FF8"/>
    <w:rsid w:val="0018229A"/>
    <w:rsid w:val="00182FB2"/>
    <w:rsid w:val="00190569"/>
    <w:rsid w:val="00190AC1"/>
    <w:rsid w:val="0019341A"/>
    <w:rsid w:val="00197DF9"/>
    <w:rsid w:val="001A1987"/>
    <w:rsid w:val="001A1D35"/>
    <w:rsid w:val="001A2564"/>
    <w:rsid w:val="001A2EA4"/>
    <w:rsid w:val="001A6173"/>
    <w:rsid w:val="001A6CBA"/>
    <w:rsid w:val="001A6F84"/>
    <w:rsid w:val="001B0D97"/>
    <w:rsid w:val="001B5A5D"/>
    <w:rsid w:val="001C1CE5"/>
    <w:rsid w:val="001C3D2A"/>
    <w:rsid w:val="001C48F4"/>
    <w:rsid w:val="001D3D94"/>
    <w:rsid w:val="001D51BA"/>
    <w:rsid w:val="001D53E7"/>
    <w:rsid w:val="001D6342"/>
    <w:rsid w:val="001D6D53"/>
    <w:rsid w:val="001D7774"/>
    <w:rsid w:val="001E58E2"/>
    <w:rsid w:val="001E700A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4BA"/>
    <w:rsid w:val="002069B2"/>
    <w:rsid w:val="00207FA3"/>
    <w:rsid w:val="00210CD9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30765"/>
    <w:rsid w:val="00230D18"/>
    <w:rsid w:val="002319E4"/>
    <w:rsid w:val="00235632"/>
    <w:rsid w:val="00235872"/>
    <w:rsid w:val="00240059"/>
    <w:rsid w:val="00241559"/>
    <w:rsid w:val="002435B3"/>
    <w:rsid w:val="002458EB"/>
    <w:rsid w:val="002500C8"/>
    <w:rsid w:val="00252BAD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B24D6"/>
    <w:rsid w:val="002B7240"/>
    <w:rsid w:val="002C2749"/>
    <w:rsid w:val="002C41E6"/>
    <w:rsid w:val="002C5706"/>
    <w:rsid w:val="002D071A"/>
    <w:rsid w:val="002D34B2"/>
    <w:rsid w:val="002D48B0"/>
    <w:rsid w:val="002D5B37"/>
    <w:rsid w:val="002D7637"/>
    <w:rsid w:val="002E17F2"/>
    <w:rsid w:val="002E6BD3"/>
    <w:rsid w:val="002E7CAE"/>
    <w:rsid w:val="002F2771"/>
    <w:rsid w:val="002F37A9"/>
    <w:rsid w:val="00300732"/>
    <w:rsid w:val="00301898"/>
    <w:rsid w:val="00301CE6"/>
    <w:rsid w:val="0030256B"/>
    <w:rsid w:val="00303F80"/>
    <w:rsid w:val="0030501F"/>
    <w:rsid w:val="00307BA1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D23"/>
    <w:rsid w:val="00331751"/>
    <w:rsid w:val="0033281C"/>
    <w:rsid w:val="00334579"/>
    <w:rsid w:val="00335858"/>
    <w:rsid w:val="00336852"/>
    <w:rsid w:val="00336BDA"/>
    <w:rsid w:val="00342BD7"/>
    <w:rsid w:val="00344EAA"/>
    <w:rsid w:val="00346DB5"/>
    <w:rsid w:val="003477B1"/>
    <w:rsid w:val="00351C2D"/>
    <w:rsid w:val="00357380"/>
    <w:rsid w:val="003602D9"/>
    <w:rsid w:val="003604CE"/>
    <w:rsid w:val="00370E47"/>
    <w:rsid w:val="00371680"/>
    <w:rsid w:val="003742AC"/>
    <w:rsid w:val="00377CE1"/>
    <w:rsid w:val="00380E54"/>
    <w:rsid w:val="00385BF0"/>
    <w:rsid w:val="003939FF"/>
    <w:rsid w:val="003A2223"/>
    <w:rsid w:val="003A2A0F"/>
    <w:rsid w:val="003A45A1"/>
    <w:rsid w:val="003A5B0A"/>
    <w:rsid w:val="003A6133"/>
    <w:rsid w:val="003A6BAC"/>
    <w:rsid w:val="003A6E1E"/>
    <w:rsid w:val="003A70A4"/>
    <w:rsid w:val="003A7EF3"/>
    <w:rsid w:val="003B159C"/>
    <w:rsid w:val="003B170A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53E"/>
    <w:rsid w:val="003D5B1F"/>
    <w:rsid w:val="003E15FA"/>
    <w:rsid w:val="003E55E4"/>
    <w:rsid w:val="003E74E3"/>
    <w:rsid w:val="003F05C7"/>
    <w:rsid w:val="003F2CD4"/>
    <w:rsid w:val="003F4EAC"/>
    <w:rsid w:val="003F6BBE"/>
    <w:rsid w:val="004000E8"/>
    <w:rsid w:val="00402E2B"/>
    <w:rsid w:val="00403651"/>
    <w:rsid w:val="0040512B"/>
    <w:rsid w:val="00405CA5"/>
    <w:rsid w:val="00407A4E"/>
    <w:rsid w:val="00407CD3"/>
    <w:rsid w:val="00410134"/>
    <w:rsid w:val="00410B72"/>
    <w:rsid w:val="00410F18"/>
    <w:rsid w:val="0041263E"/>
    <w:rsid w:val="00413AAC"/>
    <w:rsid w:val="00413E92"/>
    <w:rsid w:val="004144D8"/>
    <w:rsid w:val="00421105"/>
    <w:rsid w:val="00422AA4"/>
    <w:rsid w:val="004242F4"/>
    <w:rsid w:val="004245D5"/>
    <w:rsid w:val="00427248"/>
    <w:rsid w:val="00433AC7"/>
    <w:rsid w:val="00437447"/>
    <w:rsid w:val="004414D8"/>
    <w:rsid w:val="00441A92"/>
    <w:rsid w:val="004431DC"/>
    <w:rsid w:val="004444BB"/>
    <w:rsid w:val="00444F56"/>
    <w:rsid w:val="00446294"/>
    <w:rsid w:val="00446488"/>
    <w:rsid w:val="004514F0"/>
    <w:rsid w:val="004517AA"/>
    <w:rsid w:val="00452CAC"/>
    <w:rsid w:val="004557A5"/>
    <w:rsid w:val="00457565"/>
    <w:rsid w:val="00457B71"/>
    <w:rsid w:val="004669E2"/>
    <w:rsid w:val="00470C31"/>
    <w:rsid w:val="00471DE0"/>
    <w:rsid w:val="004734D0"/>
    <w:rsid w:val="0047556B"/>
    <w:rsid w:val="00477768"/>
    <w:rsid w:val="00487F95"/>
    <w:rsid w:val="004904B7"/>
    <w:rsid w:val="00492BC5"/>
    <w:rsid w:val="00493799"/>
    <w:rsid w:val="004964F1"/>
    <w:rsid w:val="004A16BC"/>
    <w:rsid w:val="004A2B94"/>
    <w:rsid w:val="004A56D7"/>
    <w:rsid w:val="004B6F6A"/>
    <w:rsid w:val="004B7C0C"/>
    <w:rsid w:val="004C3898"/>
    <w:rsid w:val="004C596A"/>
    <w:rsid w:val="004C73ED"/>
    <w:rsid w:val="004D0116"/>
    <w:rsid w:val="004D36B1"/>
    <w:rsid w:val="004D4A08"/>
    <w:rsid w:val="004D7EBD"/>
    <w:rsid w:val="004E2111"/>
    <w:rsid w:val="004E2680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DFB"/>
    <w:rsid w:val="004F75A1"/>
    <w:rsid w:val="00502F23"/>
    <w:rsid w:val="00506557"/>
    <w:rsid w:val="0050677A"/>
    <w:rsid w:val="005075E5"/>
    <w:rsid w:val="005108D8"/>
    <w:rsid w:val="005116F9"/>
    <w:rsid w:val="005153A7"/>
    <w:rsid w:val="005219CF"/>
    <w:rsid w:val="00524A04"/>
    <w:rsid w:val="0053052D"/>
    <w:rsid w:val="00532177"/>
    <w:rsid w:val="00534B59"/>
    <w:rsid w:val="00536759"/>
    <w:rsid w:val="00537C62"/>
    <w:rsid w:val="00546970"/>
    <w:rsid w:val="00550264"/>
    <w:rsid w:val="00554E19"/>
    <w:rsid w:val="005561E4"/>
    <w:rsid w:val="005566C2"/>
    <w:rsid w:val="0056121F"/>
    <w:rsid w:val="005640C9"/>
    <w:rsid w:val="00572505"/>
    <w:rsid w:val="00574573"/>
    <w:rsid w:val="0057738D"/>
    <w:rsid w:val="00582809"/>
    <w:rsid w:val="00584A8F"/>
    <w:rsid w:val="0058798C"/>
    <w:rsid w:val="00587C8B"/>
    <w:rsid w:val="005900FA"/>
    <w:rsid w:val="005935A4"/>
    <w:rsid w:val="005935A8"/>
    <w:rsid w:val="005948C2"/>
    <w:rsid w:val="00595DCA"/>
    <w:rsid w:val="00596877"/>
    <w:rsid w:val="0059779B"/>
    <w:rsid w:val="005A209A"/>
    <w:rsid w:val="005A662D"/>
    <w:rsid w:val="005B1409"/>
    <w:rsid w:val="005B35D7"/>
    <w:rsid w:val="005B392A"/>
    <w:rsid w:val="005B3AA3"/>
    <w:rsid w:val="005B5587"/>
    <w:rsid w:val="005B6F83"/>
    <w:rsid w:val="005C6284"/>
    <w:rsid w:val="005C74FB"/>
    <w:rsid w:val="005D0DE7"/>
    <w:rsid w:val="005D1602"/>
    <w:rsid w:val="005E385F"/>
    <w:rsid w:val="005E5B81"/>
    <w:rsid w:val="005F2274"/>
    <w:rsid w:val="005F2CB1"/>
    <w:rsid w:val="005F3025"/>
    <w:rsid w:val="005F618C"/>
    <w:rsid w:val="005F70BD"/>
    <w:rsid w:val="005F7ACD"/>
    <w:rsid w:val="00601DD3"/>
    <w:rsid w:val="0060283C"/>
    <w:rsid w:val="00604F14"/>
    <w:rsid w:val="00611B83"/>
    <w:rsid w:val="00613257"/>
    <w:rsid w:val="00620A71"/>
    <w:rsid w:val="00620D80"/>
    <w:rsid w:val="00622C42"/>
    <w:rsid w:val="006234A6"/>
    <w:rsid w:val="00630001"/>
    <w:rsid w:val="006311B3"/>
    <w:rsid w:val="0063284C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A0"/>
    <w:rsid w:val="00665402"/>
    <w:rsid w:val="006655EE"/>
    <w:rsid w:val="00667EE7"/>
    <w:rsid w:val="00670922"/>
    <w:rsid w:val="00670BE1"/>
    <w:rsid w:val="0067218F"/>
    <w:rsid w:val="00672523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C3"/>
    <w:rsid w:val="006A5E28"/>
    <w:rsid w:val="006A697B"/>
    <w:rsid w:val="006A7AFF"/>
    <w:rsid w:val="006B1816"/>
    <w:rsid w:val="006B2099"/>
    <w:rsid w:val="006B50CF"/>
    <w:rsid w:val="006C03B8"/>
    <w:rsid w:val="006C0BF9"/>
    <w:rsid w:val="006C32E6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40E58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257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928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9AF"/>
    <w:rsid w:val="007C05DD"/>
    <w:rsid w:val="007C0E0D"/>
    <w:rsid w:val="007C3D18"/>
    <w:rsid w:val="007C60BF"/>
    <w:rsid w:val="007C6A07"/>
    <w:rsid w:val="007C75A1"/>
    <w:rsid w:val="007C77A5"/>
    <w:rsid w:val="007D003D"/>
    <w:rsid w:val="007D04E5"/>
    <w:rsid w:val="007D4ED1"/>
    <w:rsid w:val="007D50E7"/>
    <w:rsid w:val="007D54B3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636"/>
    <w:rsid w:val="00811FCB"/>
    <w:rsid w:val="008158D6"/>
    <w:rsid w:val="00817196"/>
    <w:rsid w:val="0082349F"/>
    <w:rsid w:val="008235DB"/>
    <w:rsid w:val="00824324"/>
    <w:rsid w:val="00824AB4"/>
    <w:rsid w:val="00825C42"/>
    <w:rsid w:val="00825D25"/>
    <w:rsid w:val="00827D6F"/>
    <w:rsid w:val="00835D20"/>
    <w:rsid w:val="0083741B"/>
    <w:rsid w:val="008376AC"/>
    <w:rsid w:val="008444E8"/>
    <w:rsid w:val="00844E80"/>
    <w:rsid w:val="00845ADE"/>
    <w:rsid w:val="00846FE7"/>
    <w:rsid w:val="0085014C"/>
    <w:rsid w:val="00856911"/>
    <w:rsid w:val="00860919"/>
    <w:rsid w:val="0086438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8EA"/>
    <w:rsid w:val="008C2017"/>
    <w:rsid w:val="008C4958"/>
    <w:rsid w:val="008C4BAA"/>
    <w:rsid w:val="008C6AE8"/>
    <w:rsid w:val="008C7573"/>
    <w:rsid w:val="008D00A5"/>
    <w:rsid w:val="008D1614"/>
    <w:rsid w:val="008D34F1"/>
    <w:rsid w:val="008D39D8"/>
    <w:rsid w:val="008D5A77"/>
    <w:rsid w:val="008D6D1A"/>
    <w:rsid w:val="008E065E"/>
    <w:rsid w:val="008E0927"/>
    <w:rsid w:val="008E0E49"/>
    <w:rsid w:val="008E1909"/>
    <w:rsid w:val="008F1EAB"/>
    <w:rsid w:val="008F33DC"/>
    <w:rsid w:val="008F477F"/>
    <w:rsid w:val="008F4C56"/>
    <w:rsid w:val="009000B8"/>
    <w:rsid w:val="00902350"/>
    <w:rsid w:val="009031D5"/>
    <w:rsid w:val="0090336B"/>
    <w:rsid w:val="0090437C"/>
    <w:rsid w:val="009053AA"/>
    <w:rsid w:val="00906939"/>
    <w:rsid w:val="00910B7D"/>
    <w:rsid w:val="00911397"/>
    <w:rsid w:val="00911DFB"/>
    <w:rsid w:val="009139D9"/>
    <w:rsid w:val="00914AD8"/>
    <w:rsid w:val="00916079"/>
    <w:rsid w:val="00917CE9"/>
    <w:rsid w:val="00920BF2"/>
    <w:rsid w:val="00922010"/>
    <w:rsid w:val="00931BD9"/>
    <w:rsid w:val="009330B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D40"/>
    <w:rsid w:val="0095681E"/>
    <w:rsid w:val="009572D4"/>
    <w:rsid w:val="00961921"/>
    <w:rsid w:val="0096430A"/>
    <w:rsid w:val="0096554B"/>
    <w:rsid w:val="0096584A"/>
    <w:rsid w:val="0097110B"/>
    <w:rsid w:val="00971F08"/>
    <w:rsid w:val="0097603D"/>
    <w:rsid w:val="00976949"/>
    <w:rsid w:val="00976D96"/>
    <w:rsid w:val="00980477"/>
    <w:rsid w:val="00981938"/>
    <w:rsid w:val="00985253"/>
    <w:rsid w:val="009853B3"/>
    <w:rsid w:val="0098563E"/>
    <w:rsid w:val="00990630"/>
    <w:rsid w:val="009908E0"/>
    <w:rsid w:val="00991761"/>
    <w:rsid w:val="00994DCA"/>
    <w:rsid w:val="009960EC"/>
    <w:rsid w:val="009970D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E87"/>
    <w:rsid w:val="009C0169"/>
    <w:rsid w:val="009C09BE"/>
    <w:rsid w:val="009C403E"/>
    <w:rsid w:val="009D06BA"/>
    <w:rsid w:val="009D2E3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79"/>
    <w:rsid w:val="00A031D8"/>
    <w:rsid w:val="00A048A8"/>
    <w:rsid w:val="00A04F49"/>
    <w:rsid w:val="00A05B40"/>
    <w:rsid w:val="00A13E54"/>
    <w:rsid w:val="00A17F63"/>
    <w:rsid w:val="00A2193B"/>
    <w:rsid w:val="00A21CF6"/>
    <w:rsid w:val="00A2351A"/>
    <w:rsid w:val="00A254FE"/>
    <w:rsid w:val="00A264A9"/>
    <w:rsid w:val="00A26DCF"/>
    <w:rsid w:val="00A276BB"/>
    <w:rsid w:val="00A27785"/>
    <w:rsid w:val="00A30187"/>
    <w:rsid w:val="00A3448A"/>
    <w:rsid w:val="00A36297"/>
    <w:rsid w:val="00A41E2B"/>
    <w:rsid w:val="00A45B74"/>
    <w:rsid w:val="00A52E1D"/>
    <w:rsid w:val="00A55D3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3A8"/>
    <w:rsid w:val="00A92879"/>
    <w:rsid w:val="00A9442A"/>
    <w:rsid w:val="00A954ED"/>
    <w:rsid w:val="00AA016F"/>
    <w:rsid w:val="00AA1ED6"/>
    <w:rsid w:val="00AA51D6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ECD"/>
    <w:rsid w:val="00AC3119"/>
    <w:rsid w:val="00AC49FB"/>
    <w:rsid w:val="00AC5A10"/>
    <w:rsid w:val="00AC7932"/>
    <w:rsid w:val="00AD0AA3"/>
    <w:rsid w:val="00AD0B6B"/>
    <w:rsid w:val="00AD3F94"/>
    <w:rsid w:val="00AD4A5A"/>
    <w:rsid w:val="00AD5A7C"/>
    <w:rsid w:val="00AD6420"/>
    <w:rsid w:val="00AD64B2"/>
    <w:rsid w:val="00AE27AC"/>
    <w:rsid w:val="00AE40E0"/>
    <w:rsid w:val="00AE4DBA"/>
    <w:rsid w:val="00AE4F07"/>
    <w:rsid w:val="00AE6180"/>
    <w:rsid w:val="00AF1C5D"/>
    <w:rsid w:val="00AF42D7"/>
    <w:rsid w:val="00B006FE"/>
    <w:rsid w:val="00B007CB"/>
    <w:rsid w:val="00B02AA9"/>
    <w:rsid w:val="00B02FA3"/>
    <w:rsid w:val="00B04151"/>
    <w:rsid w:val="00B05084"/>
    <w:rsid w:val="00B072D3"/>
    <w:rsid w:val="00B1088F"/>
    <w:rsid w:val="00B11170"/>
    <w:rsid w:val="00B157F9"/>
    <w:rsid w:val="00B20256"/>
    <w:rsid w:val="00B206C8"/>
    <w:rsid w:val="00B20D09"/>
    <w:rsid w:val="00B253D8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C2F"/>
    <w:rsid w:val="00B45A52"/>
    <w:rsid w:val="00B46175"/>
    <w:rsid w:val="00B548B7"/>
    <w:rsid w:val="00B54DD0"/>
    <w:rsid w:val="00B60834"/>
    <w:rsid w:val="00B63BF2"/>
    <w:rsid w:val="00B664C7"/>
    <w:rsid w:val="00B70503"/>
    <w:rsid w:val="00B739F6"/>
    <w:rsid w:val="00B81A6C"/>
    <w:rsid w:val="00B85DE5"/>
    <w:rsid w:val="00B90F73"/>
    <w:rsid w:val="00B93B59"/>
    <w:rsid w:val="00B9406A"/>
    <w:rsid w:val="00BA2280"/>
    <w:rsid w:val="00BA2A08"/>
    <w:rsid w:val="00BA459A"/>
    <w:rsid w:val="00BA56D2"/>
    <w:rsid w:val="00BA76E0"/>
    <w:rsid w:val="00BB2A25"/>
    <w:rsid w:val="00BB51E9"/>
    <w:rsid w:val="00BC0FDC"/>
    <w:rsid w:val="00BC3053"/>
    <w:rsid w:val="00BC4D2E"/>
    <w:rsid w:val="00BC566B"/>
    <w:rsid w:val="00BD48AC"/>
    <w:rsid w:val="00BD5F1A"/>
    <w:rsid w:val="00BE1234"/>
    <w:rsid w:val="00BE179C"/>
    <w:rsid w:val="00BE2FA6"/>
    <w:rsid w:val="00BE333F"/>
    <w:rsid w:val="00BE7406"/>
    <w:rsid w:val="00BE7603"/>
    <w:rsid w:val="00BF3279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523"/>
    <w:rsid w:val="00C268E6"/>
    <w:rsid w:val="00C279B5"/>
    <w:rsid w:val="00C27C45"/>
    <w:rsid w:val="00C3719D"/>
    <w:rsid w:val="00C37CB2"/>
    <w:rsid w:val="00C40CC5"/>
    <w:rsid w:val="00C427B7"/>
    <w:rsid w:val="00C473A5"/>
    <w:rsid w:val="00C52DEA"/>
    <w:rsid w:val="00C54995"/>
    <w:rsid w:val="00C54D41"/>
    <w:rsid w:val="00C554A7"/>
    <w:rsid w:val="00C60783"/>
    <w:rsid w:val="00C64672"/>
    <w:rsid w:val="00C67D57"/>
    <w:rsid w:val="00C70697"/>
    <w:rsid w:val="00C72093"/>
    <w:rsid w:val="00C72D31"/>
    <w:rsid w:val="00C72EF4"/>
    <w:rsid w:val="00C73135"/>
    <w:rsid w:val="00C744FE"/>
    <w:rsid w:val="00C75D2F"/>
    <w:rsid w:val="00C767BE"/>
    <w:rsid w:val="00C769FC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235A"/>
    <w:rsid w:val="00CB7170"/>
    <w:rsid w:val="00CC040E"/>
    <w:rsid w:val="00CC04E8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C47"/>
    <w:rsid w:val="00D34CE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417"/>
    <w:rsid w:val="00D647F1"/>
    <w:rsid w:val="00D652B5"/>
    <w:rsid w:val="00D66155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956C3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2516"/>
    <w:rsid w:val="00DC2D36"/>
    <w:rsid w:val="00DC53EF"/>
    <w:rsid w:val="00DE5608"/>
    <w:rsid w:val="00DE58D0"/>
    <w:rsid w:val="00DE654F"/>
    <w:rsid w:val="00DF0B6E"/>
    <w:rsid w:val="00DF15E0"/>
    <w:rsid w:val="00DF37A0"/>
    <w:rsid w:val="00E0218D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4188"/>
    <w:rsid w:val="00E34B6E"/>
    <w:rsid w:val="00E34DA6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661"/>
    <w:rsid w:val="00E60D26"/>
    <w:rsid w:val="00E63838"/>
    <w:rsid w:val="00E64434"/>
    <w:rsid w:val="00E67C51"/>
    <w:rsid w:val="00E72EFC"/>
    <w:rsid w:val="00E74516"/>
    <w:rsid w:val="00E757A1"/>
    <w:rsid w:val="00E758EC"/>
    <w:rsid w:val="00E8234C"/>
    <w:rsid w:val="00E82CC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0B7"/>
    <w:rsid w:val="00EC4207"/>
    <w:rsid w:val="00EC5653"/>
    <w:rsid w:val="00EC71CE"/>
    <w:rsid w:val="00ED1006"/>
    <w:rsid w:val="00EE229C"/>
    <w:rsid w:val="00EE4E0F"/>
    <w:rsid w:val="00EF18FE"/>
    <w:rsid w:val="00EF5787"/>
    <w:rsid w:val="00EF60D0"/>
    <w:rsid w:val="00EF6FA6"/>
    <w:rsid w:val="00F03CB0"/>
    <w:rsid w:val="00F046AC"/>
    <w:rsid w:val="00F0528D"/>
    <w:rsid w:val="00F06C67"/>
    <w:rsid w:val="00F06DFD"/>
    <w:rsid w:val="00F071D1"/>
    <w:rsid w:val="00F07533"/>
    <w:rsid w:val="00F10629"/>
    <w:rsid w:val="00F15FA5"/>
    <w:rsid w:val="00F206D5"/>
    <w:rsid w:val="00F209B7"/>
    <w:rsid w:val="00F20F5C"/>
    <w:rsid w:val="00F22894"/>
    <w:rsid w:val="00F235E5"/>
    <w:rsid w:val="00F2376F"/>
    <w:rsid w:val="00F243D8"/>
    <w:rsid w:val="00F273D4"/>
    <w:rsid w:val="00F30828"/>
    <w:rsid w:val="00F313D6"/>
    <w:rsid w:val="00F40F0C"/>
    <w:rsid w:val="00F4766C"/>
    <w:rsid w:val="00F5060E"/>
    <w:rsid w:val="00F507D1"/>
    <w:rsid w:val="00F519CE"/>
    <w:rsid w:val="00F51ADA"/>
    <w:rsid w:val="00F5420A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3ADE"/>
    <w:rsid w:val="00F74BB9"/>
    <w:rsid w:val="00F75582"/>
    <w:rsid w:val="00F76EFA"/>
    <w:rsid w:val="00F804BE"/>
    <w:rsid w:val="00F80FAD"/>
    <w:rsid w:val="00F817CE"/>
    <w:rsid w:val="00F8456C"/>
    <w:rsid w:val="00F859D8"/>
    <w:rsid w:val="00F868F5"/>
    <w:rsid w:val="00F86A57"/>
    <w:rsid w:val="00F9056A"/>
    <w:rsid w:val="00F90F8D"/>
    <w:rsid w:val="00F92782"/>
    <w:rsid w:val="00F9395F"/>
    <w:rsid w:val="00F93AA9"/>
    <w:rsid w:val="00F949CB"/>
    <w:rsid w:val="00F96985"/>
    <w:rsid w:val="00F97838"/>
    <w:rsid w:val="00FA2BB3"/>
    <w:rsid w:val="00FA3AD7"/>
    <w:rsid w:val="00FB4C80"/>
    <w:rsid w:val="00FB559F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94D59DE4-0651-407D-BEBF-F78A3265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5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11353</CharactersWithSpaces>
  <SharedDoc>false</SharedDoc>
  <HLinks>
    <vt:vector size="24" baseType="variant"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_Toc109220748</vt:lpwstr>
      </vt:variant>
      <vt:variant>
        <vt:i4>1048638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_Toc109143252</vt:lpwstr>
      </vt:variant>
      <vt:variant>
        <vt:i4>1048638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_Toc109143251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_Toc109143250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257</cp:revision>
  <cp:lastPrinted>2008-01-31T16:09:00Z</cp:lastPrinted>
  <dcterms:created xsi:type="dcterms:W3CDTF">2022-06-27T21:18:00Z</dcterms:created>
  <dcterms:modified xsi:type="dcterms:W3CDTF">2022-08-10T09:00:00Z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